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NotVPV — Einrichtung und Aktivierung eines Postfachs</w:t>
      </w:r>
    </w:p>
    <w:p>
      <w:r>
        <w:rPr>
          <w:color w:val="555555"/>
          <w:sz w:val="18"/>
        </w:rPr>
        <w:t xml:space="preserve">Notarverzeichnis- und -postfachverordnung</w:t>
      </w:r>
    </w:p>
    <w:p>
      <w:r>
        <w:rPr>
          <w:color w:val="555555"/>
          <w:sz w:val="18"/>
        </w:rPr>
        <w:t xml:space="preserve">Stand: 01.08.2021 (konsolidierte Textfassung, kein amtliches Inkrafttretensdatum)</w:t>
      </w:r>
    </w:p>
    <w:p>
      <w:r>
        <w:t xml:space="preserve">(1) Die Bundesnotarkammer richtet für jede ausgeübte amtliche Tätigkeit eines Notars oder Notariatsverwalters ein besonderes elektronisches Notarpostfach ein. Sie gewährleistet, dass das Postfach unverzüglich nach Eintragung der amtlichen Tätigkeit in das Notarverzeichnis zur Aktivierung bereitsteht und nicht vor dem Beginn der amtlichen Tätigkeit aktiviert werden kann.</w:t>
      </w:r>
    </w:p>
    <w:p>
      <w:r>
        <w:t xml:space="preserve">(2) Die Aktivierung des besonderen elektronischen Notarpostfachs durch den Postfachinhaber erfolgt mittels eines kryptografischen Schlüssels, der auf einer kryptografischen Hardwarekomponente gespeichert ist.</w:t>
      </w:r>
    </w:p>
    <w:p>
      <w:r>
        <w:t xml:space="preserve">(3) Die Bundesnotarkammer hat durch geeignete technische und organisatorische Maßnahmen sicherzustellen, dass der zur Aktivierung bestimmte kryptografische Schlüssel des Postfachinhabers nur durch diesen verwendet werden kann.</w:t>
      </w:r>
    </w:p>
    <w:p>
      <w:r>
        <w:rPr>
          <w:color w:val="555555"/>
          <w:sz w:val="17"/>
        </w:rPr>
        <w:t xml:space="preserve">Zitiervorschlag: § 14 NotVPV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https://recht.nulegal.eu/gesetze/NotVPV/14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