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NotVPV — Besonderes elektronisches Notarpostfach</w:t>
      </w:r>
    </w:p>
    <w:p>
      <w:r>
        <w:rPr>
          <w:color w:val="555555"/>
          <w:sz w:val="18"/>
        </w:rPr>
        <w:t xml:space="preserve">Notarverzeichnis- und -postfachverordnung</w:t>
      </w:r>
    </w:p>
    <w:p>
      <w:r>
        <w:rPr>
          <w:color w:val="555555"/>
          <w:sz w:val="18"/>
        </w:rPr>
        <w:t xml:space="preserve">Stand: 10.06.2019 (konsolidierte Textfassung, kein amtliches Inkrafttretensdatum)</w:t>
      </w:r>
    </w:p>
    <w:p>
      <w:r>
        <w:t xml:space="preserve">(1) Das besondere elektronische Notarpostfach dient der elektronischen Kommunikation der Postfachinhaber mit den Gerichten auf einem sicheren Übermittlungsweg. Zudem dient es der Kommunikation der Postfachinhaber untereinander.</w:t>
      </w:r>
    </w:p>
    <w:p>
      <w:r>
        <w:t xml:space="preserve">(2) Das besondere elektronische Notarpostfach kann auch der elektronischen Kommunikation mit anderen Stellen oder Personen dienen.</w:t>
      </w:r>
    </w:p>
    <w:p>
      <w:r>
        <w:t xml:space="preserve">(3) Die Bundesnotarkammer hat den Inhabern eines besonderen elektronischen Notarpostfachs die elektronische Suche nach allen Stellen und Personen zu ermöglichen, die über das Postfach erreichbar sind. Die Bundesnotarkammer hat zudem die Daten, die eine Suche im Sinne des Satzes 1 ermöglichen, auch den Gerichten zugänglich zu machen. Sie kann diese Daten auch anderen Personen und Stellen zugänglich machen, mit denen sie nach Absatz 2 eine Kommunikation ermöglicht.</w:t>
      </w:r>
    </w:p>
    <w:p>
      <w:r>
        <w:rPr>
          <w:color w:val="555555"/>
          <w:sz w:val="17"/>
        </w:rPr>
        <w:t xml:space="preserve">Zitiervorschlag: § 12 NotVPV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https://recht.nulegal.eu/gesetze/NotVPV/12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