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NotVPV — Einsehbarkeit und Datensicherheit</w:t>
      </w:r>
    </w:p>
    <w:p>
      <w:r>
        <w:rPr>
          <w:color w:val="555555"/>
          <w:sz w:val="18"/>
        </w:rPr>
        <w:t xml:space="preserve">Notarverzeichnis- und -postfachverordnung</w:t>
      </w:r>
    </w:p>
    <w:p>
      <w:r>
        <w:rPr>
          <w:color w:val="555555"/>
          <w:sz w:val="18"/>
        </w:rPr>
        <w:t xml:space="preserve">Stand: 10.06.2019 (konsolidierte Textfassung, kein amtliches Inkrafttretensdatum)</w:t>
      </w:r>
    </w:p>
    <w:p>
      <w:r>
        <w:t xml:space="preserve">(1) Die Bundesnotarkammer hat durch geeignete organisatorische und dem aktuellen Stand entsprechende technische Maßnahmen</w:t>
      </w:r>
    </w:p>
    <w:p>
      <w:pPr>
        <w:ind w:left="420"/>
      </w:pPr>
      <w:r>
        <w:t xml:space="preserve">1. dafür Sorge zu tragen, dass das Notarverzeichnis jederzeit einsehbar ist, und</w:t>
      </w:r>
    </w:p>
    <w:p>
      <w:pPr>
        <w:ind w:left="420"/>
      </w:pPr>
      <w:r>
        <w:t xml:space="preserve">2. Vorkehrungen zu treffen, dass sie von Fehlfunktionen des Notarverzeichnisses unverzüglich Kenntnis erlangt.</w:t>
      </w:r>
    </w:p>
    <w:p>
      <w:r>
        <w:t xml:space="preserve">(2) Bei schwerwiegenden Fehlfunktionen hat die Bundesnotarkammer unverzüglich, bei anderen Fehlfunktionen zeitnah die erforderlichen Maßnahmen zu deren Behebung zu veranlassen.</w:t>
      </w:r>
    </w:p>
    <w:p>
      <w:r>
        <w:t xml:space="preserve">(3) Stellt die Bundesnotarkammer Notarkammern oder Amtspersonen für von diesen vorzunehmende Eintragungen oder Mitteilungen Webanwendungen zur Verfügung, so hat sie dafür Sorge zu tragen, dass auf diese nur durch ein sicheres Verfahren mit mindestens zwei voneinander unabhängigen Sicherungsmitteln zugegriffen werden kann.</w:t>
      </w:r>
    </w:p>
    <w:p>
      <w:r>
        <w:rPr>
          <w:color w:val="555555"/>
          <w:sz w:val="17"/>
        </w:rPr>
        <w:t xml:space="preserve">Zitiervorschlag: § 11 NotVPV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https://recht.nulegal.eu/gesetze/NotVPV/11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