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NotVO NRW (Nordrhein-Westfalen)</w:t>
      </w:r>
    </w:p>
    <w:p>
      <w:r>
        <w:rPr>
          <w:color w:val="555555"/>
          <w:sz w:val="18"/>
        </w:rPr>
        <w:t xml:space="preserve">Notarverordnung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Oktober 2016</w:t>
      </w:r>
    </w:p>
    <w:p>
      <w:r>
        <w:t xml:space="preserve">Auf Grund von § 6 Absatz 4, § 7 Absatz 5 Satz 2, § 9 Absatz 1 Satz 2, § 25 Absatz 2 Satz 1 und § 112 der Bundesnotarordnung in der im Bundesgesetzblatt Teil III, Gliederungsnummer 303-1, veröffentlichten bereinigten Fassung, von denen § 6 Absatz 4 durch Artikel 1 des Gesetzes vom 2. April 2009 (BGBl. I S. 696) sowie § 9 Absatz 1 Satz 2 und § 25 Absatz 2 Satz 1 durch Artikel 1 des Gesetzes vom 31. August 1998 (BGBl. I S. 2585) neu gefasst und § 112 durch Artikel 3 des Gesetzes vom 30. Juli 2009 (BGBl. I S. 2449) geändert worden ist, in Verbindung mit § 1 der Verordnung zur Ausführung der Bundesnotarordnung vom 18. Mai 1999 (GV. NRW. S. 208) und § 1 der Verordnung über die Übertragung von Ermächtigungen der Landesregierung zum Erlaß von Rechtsverordnungen vom 17. Oktober 1961 (GV. NRW. S. 285), verordnet das Justizministerium:</w:t>
      </w:r>
    </w:p>
    <w:p>
      <w:r>
        <w:rPr>
          <w:color w:val="555555"/>
          <w:sz w:val="17"/>
        </w:rPr>
        <w:t xml:space="preserve">Zitiervorschlag: Eingangsformel NotVO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https://recht.nulegal.eu/gesetze/NotVO%20NRW/eingangsformel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