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NotVO NRW (Nordrhein-Westfalen) — Befugnisse der Präsidentinnen und Präsidenten der Landgerichte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Präsidentinnen und Präsidenten der Landgerichte werden für den Bezirk ihres Landgerichts folgende Befugnisse übertragen:</w:t>
      </w:r>
    </w:p>
    <w:p>
      <w:r>
        <w:t xml:space="preserve">1. die Anzeigen der Berufshaftpflichtversicherer entgegenzunehmen (§ 19a Absatz 3 der Bundesnotarordnung),</w:t>
      </w:r>
    </w:p>
    <w:p>
      <w:r>
        <w:t xml:space="preserve">2. die Aufgaben der zuständigen Stelle gemäß § 117 Absatz 2 des Versicherungsvertragsgesetzes vom 23. November 2007 (BGBl. I S. 2631) in der jeweils geltenden Fassung wahrzunehmen (§ 19a Absatz 5 der Bundesnotarordnung),</w:t>
      </w:r>
    </w:p>
    <w:p>
      <w:r>
        <w:t xml:space="preserve">3. die Erteilung von Auskünften über den Namen und die Adresse der Berufshaft-pflichtversicherung der Notarinnen und Notare sowie der Versicherungsnummer (§ 19a Absatz 6 der Bundesnotarordnung) und</w:t>
      </w:r>
    </w:p>
    <w:p>
      <w:r>
        <w:t xml:space="preserve">4. die Verwahrung der Akten und Verzeichnisse der Notarinnen und Notare sowie der ihnen amtlich übergebenen Urkunden einer anderen Notarkammer, einer Notarin oder einem Notar zu übertragen (§ 51 Absatz 1 Satz 2 der Bundesnotarordnung) und</w:t>
      </w:r>
    </w:p>
    <w:p>
      <w:r>
        <w:t xml:space="preserve">5. die Benachrichtigung der Notarkammer nach§ 67 Absatz 6 der Bundesnotarordnung, soweit die dort genannten Maßnahmen den Präsidentinnen und Präsidenten der Landgerichte übertragen sind.</w:t>
      </w:r>
    </w:p>
    <w:p>
      <w:r>
        <w:rPr>
          <w:color w:val="555555"/>
          <w:sz w:val="17"/>
        </w:rPr>
        <w:t xml:space="preserve">Zitiervorschlag: § 3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