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§ 8 NotV 3</w:t>
      </w:r>
    </w:p>
    <w:p>
      <w:r>
        <w:rPr>
          <w:color w:val="555555"/>
          <w:sz w:val="18"/>
        </w:rPr>
        <w:t xml:space="preserve">Dritte Verordnung des Reichspräsidenten zur Sicherung von Wirtschaft und Finanzen und zur Bekämpfung politischer Ausschreitungen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Girozentralen sind zu Anstalten mit eigener Rechtspersönlichkeit umzugestalten; sie unterliegen der Aufsicht der für ihren Hauptsitz zuständigen obersten Landesbehörde oder der von ihr bestimmten Stelle. Die Vorschriften des § 2 Abs. 1 Satz 2, Abs. 2 finden entsprechende Anwendung. Im übrigen sind Organisation und Geschäftsbetrieb der Girozentralen so zu regeln, wie es die Liquidität, insbesondere die Sicherheit der Liquiditätsreserven der Spar- und Girokassen, erfordert.</w:t>
      </w:r>
    </w:p>
    <w:p>
      <w:r>
        <w:rPr>
          <w:color w:val="555555"/>
          <w:sz w:val="17"/>
        </w:rPr>
        <w:t xml:space="preserve">Zitiervorschlag: Art 1 § 8 NotV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https://recht.nulegal.eu/gesetze/NotV%203/1-8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