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Landesregierungen sind ermächtigt und verpflichtet, alle Maßnahmen im Verordnungswege zu treffen, die erforderlich sind, um die Organisation und den Geschäftsbetrieb der Spar- und Girokassen, der kommunalen Kreditinstitute und Giroverbände sowie der Girozentralen mit den nachstehenden Vorschriften in Einklang zu bringen. Sie können dabei von dem bestehenden Landesrecht abweichen.</w:t>
      </w:r>
    </w:p>
    <w:p>
      <w:r>
        <w:t xml:space="preserve">(2) Spar- und Girokassen im Sinne dieses Kapitels sind die öffentlichen oder dem öffentlichen Verkehr dienenden Spar- und Girokassen.</w:t>
      </w:r>
    </w:p>
    <w:p>
      <w:r>
        <w:rPr>
          <w:color w:val="555555"/>
          <w:sz w:val="17"/>
        </w:rPr>
        <w:t xml:space="preserve">Zitiervorschlag: Art 1 § 1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https://recht.nulegal.eu/gesetze/NotV%203/1-1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