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NotSanG — Voraussetzungen für den Zugang zur Ausbildung</w:t>
      </w:r>
    </w:p>
    <w:p>
      <w:r>
        <w:rPr>
          <w:color w:val="555555"/>
          <w:sz w:val="18"/>
        </w:rPr>
        <w:t xml:space="preserve">Notfallsanitätergesetz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Voraussetzung für den Zugang zu einer Ausbildung nach diesem Gesetz ist,</w:t>
      </w:r>
    </w:p>
    <w:p>
      <w:pPr>
        <w:ind w:left="420"/>
      </w:pPr>
      <w:r>
        <w:t xml:space="preserve">1. die gesundheitliche Eignung zur Ausübung des Berufs und</w:t>
      </w:r>
    </w:p>
    <w:p>
      <w:pPr>
        <w:ind w:left="420"/>
      </w:pPr>
      <w:r>
        <w:t xml:space="preserve">2. im Fall einer Ausbildung</w:t>
      </w:r>
    </w:p>
    <w:p>
      <w:pPr>
        <w:ind w:left="780"/>
      </w:pPr>
      <w:r>
        <w:t xml:space="preserve">a) an einer staatlichen Schule (§ 5 Absatz 2 Satz 1)</w:t>
      </w:r>
    </w:p>
    <w:p>
      <w:pPr>
        <w:ind w:left="1140"/>
      </w:pPr>
      <w:r>
        <w:t xml:space="preserve">aa) der mittlere Schulabschluss oder eine andere gleichwertige, abgeschlossene Schulbildung oder</w:t>
      </w:r>
    </w:p>
    <w:p>
      <w:pPr>
        <w:ind w:left="1140"/>
      </w:pPr>
      <w:r>
        <w:t xml:space="preserve">bb) eine nach einem Hauptschulabschluss oder einer gleichwertigen Schulbildung erfolgreich abgeschlossene Berufsausbildung von mindestens zweijähriger Dauer,</w:t>
      </w:r>
    </w:p>
    <w:p>
      <w:pPr>
        <w:ind w:left="780"/>
      </w:pPr>
      <w:r>
        <w:t xml:space="preserve">b) im Rahmen eines Modellvorhabens an einer Hochschule (§ 7) der Nachweis der Hochschulzugangsberechtigung.</w:t>
      </w:r>
    </w:p>
    <w:p>
      <w:r>
        <w:rPr>
          <w:color w:val="555555"/>
          <w:sz w:val="17"/>
        </w:rPr>
        <w:t xml:space="preserve">Zitiervorschlag: § 8 NotSanG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https://recht.nulegal.eu/gesetze/NotSanG/8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