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NotSanG — Ausbildung an der Hochschule im Rahmen von Modellvorhaben</w:t>
      </w:r>
    </w:p>
    <w:p>
      <w:r>
        <w:rPr>
          <w:color w:val="555555"/>
          <w:sz w:val="18"/>
        </w:rPr>
        <w:t xml:space="preserve">Notfallsanitätergesetz</w:t>
      </w:r>
    </w:p>
    <w:p>
      <w:r>
        <w:rPr>
          <w:color w:val="555555"/>
          <w:sz w:val="18"/>
        </w:rPr>
        <w:t xml:space="preserve">Stand: 10.06.2019 (konsolidierte Textfassung, kein amtliches Inkrafttretensdatum)</w:t>
      </w:r>
    </w:p>
    <w:p>
      <w:r>
        <w:t xml:space="preserve">(1) Zur Erprobung von Ausbildungsangeboten, die der Weiterentwicklung des Berufs des Notfallsanitäters im akademischen Bereich unter Berücksichtigung der berufsfeldspezifischen Anforderungen sowie moderner berufspädagogischer Erkenntnisse dienen sollen, können die Länder den Unterricht abweichend von § 5 Absatz 2 Satz 1 an Hochschulen stattfinden lassen. Abweichungen von der Ausbildungs- und Prüfungsverordnung für Notfallsanitäterinnen und Notfallsanitäter sind jedoch nur zulässig, soweit sie den theoretischen und praktischen Unterricht in § 1 Absatz 1 Satz 1 sowie die Anlage 1 der Verordnung betreffen. Im Übrigen gilt die Verordnung unverändert mit der Maßgabe, dass an die Stelle der Schule die Hochschule tritt.</w:t>
      </w:r>
    </w:p>
    <w:p>
      <w:r>
        <w:t xml:space="preserve">(2) Durch die Erprobung von Ausbildungsangeboten nach Absatz 1 darf das Erreichen des Ausbildungsziels nicht gefährdet werden. Die Vereinbarkeit der Ausbildung mit der Richtlinie 2005/36/EG ist zu gewährleisten.</w:t>
      </w:r>
    </w:p>
    <w:p>
      <w:r>
        <w:t xml:space="preserve">(3) Ziele, Dauer, Art und allgemeine Vorgaben zur Ausgestaltung der Modellvorhaben sowie die Bedingungen für die Teilnahme sind jeweils von den Ländern festzulegen.</w:t>
      </w:r>
    </w:p>
    <w:p>
      <w:r>
        <w:t xml:space="preserve">(4) Die Länder stellen jeweils eine wissenschaftliche Begleitung und Auswertung der Modellvorhaben im Hinblick auf die Erreichung der Ziele sicher. Diese erfolgt auf der Grundlage von Richtlinien über die wissenschaftliche Begleitung und Auswertung von Modellvorhaben nach § 4 Absatz 6 Satz 3 des Ergotherapeutengesetzes, § 6 Absatz 4 Satz 3 des Hebammengesetzes, § 4 Absatz 6 Satz 3 des Logopädengesetzes und § 9 Absatz 3 Satz 3 des Masseur- und Physiotherapeutengesetzes vom 16. November 2009, die das Bundesministerium für Gesundheit im Bundesanzeiger vom 27. November 2009 (BAnz. S. 4052) bekannt gemacht hat.</w:t>
      </w:r>
    </w:p>
    <w:p>
      <w:r>
        <w:t xml:space="preserve">(5) Die Länder übermitteln dem Bundesministerium für Gesundheit die Ergebnisse der Auswertung.</w:t>
      </w:r>
    </w:p>
    <w:p>
      <w:r>
        <w:rPr>
          <w:color w:val="555555"/>
          <w:sz w:val="17"/>
        </w:rPr>
        <w:t xml:space="preserve">Zitiervorschlag: § 7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