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NotSanG — Eigenverantwortliche Durchführung heilkundlicher Maßnahmen durch Notfallsanitäterinnen und Notfallsanitäter</w:t>
      </w:r>
    </w:p>
    <w:p>
      <w:r>
        <w:rPr>
          <w:color w:val="555555"/>
          <w:sz w:val="18"/>
        </w:rPr>
        <w:t xml:space="preserve">Notfallsanitätergesetz</w:t>
      </w:r>
    </w:p>
    <w:p>
      <w:r>
        <w:rPr>
          <w:color w:val="555555"/>
          <w:sz w:val="18"/>
        </w:rPr>
        <w:t xml:space="preserve">Stand: 27.07.2023 (konsolidierte Textfassung, kein amtliches Inkrafttretensdatum)</w:t>
      </w:r>
    </w:p>
    <w:p>
      <w:r>
        <w:t xml:space="preserve">Bis zum Eintreffen der Notärztin oder des Notarztes oder bis zum Beginn einer weiteren ärztlichen, auch teleärztlichen, Versorgung dürfen Notfallsanitäterinnen und Notfallsanitäter heilkundliche Maßnahmen, einschließlich heilkundlicher Maßnahmen invasiver oder medikamentöser Art, dann eigenverantwortlich durchführen, wenn</w:t>
      </w:r>
    </w:p>
    <w:p>
      <w:pPr>
        <w:ind w:left="420"/>
      </w:pPr>
      <w:r>
        <w:t xml:space="preserve">1. sie diese Maßnahmen in ihrer Ausbildung erlernt haben und beherrschen und</w:t>
      </w:r>
    </w:p>
    <w:p>
      <w:pPr>
        <w:ind w:left="420"/>
      </w:pPr>
      <w:r>
        <w:t xml:space="preserve">2. die Maßnahmen jeweils erforderlich sind, um Lebensgefahr oder wesentliche Folgeschäden von der Patientin oder dem Patienten abzuwenden.</w:t>
      </w:r>
    </w:p>
    <w:p>
      <w:r>
        <w:rPr>
          <w:color w:val="555555"/>
          <w:sz w:val="17"/>
        </w:rPr>
        <w:t xml:space="preserve">Zitiervorschlag: § 2a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