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NotSanG — Ausschluss der Geltung von Vorschriften dieses Abschnitts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finden keine Anwendung auf Ausbildungsteilnehmerinnen und Ausbildungsteilnehmer, die</w:t>
      </w:r>
    </w:p>
    <w:p>
      <w:pPr>
        <w:ind w:left="420"/>
      </w:pPr>
      <w:r>
        <w:t xml:space="preserve">1. die Ausbildung nach § 7 an einer Hochschule absolvieren oder</w:t>
      </w:r>
    </w:p>
    <w:p>
      <w:pPr>
        <w:ind w:left="420"/>
      </w:pPr>
      <w:r>
        <w:t xml:space="preserve">2. in einem öffentlich-rechtlichen Dienst- und Treueverhältnis als Beamte auf Widerruf stehen.</w:t>
      </w:r>
    </w:p>
    <w:p>
      <w:r>
        <w:rPr>
          <w:color w:val="555555"/>
          <w:sz w:val="17"/>
        </w:rPr>
        <w:t xml:space="preserve">Zitiervorschlag: § 21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