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NotSanG — Ausbildungsvergütung</w:t>
      </w:r>
    </w:p>
    <w:p>
      <w:r>
        <w:rPr>
          <w:color w:val="555555"/>
          <w:sz w:val="18"/>
        </w:rPr>
        <w:t xml:space="preserve">Notfallsanitätergesetz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Ausbildungsträger hat der Schülerin oder dem Schüler eine angemessene Ausbildungsvergütung zu gewähren.</w:t>
      </w:r>
    </w:p>
    <w:p>
      <w:r>
        <w:t xml:space="preserve">(2) Sachbezüge können in der Höhe der Werte, die durch Rechtsverordnung nach § 17 Absatz 1 Satz 1 Nummer 4 des Vierten Buches Sozialgesetzbuch bestimmt sind, angerechnet werden; sie dürfen jedoch 75 Prozent der Bruttovergütung nicht überschreiten. Kann die Schülerin oder der Schüler aus berechtigtem Grund Sachbezüge nicht abnehmen, so sind diese nach den Sachbezugswerten abzugelten.</w:t>
      </w:r>
    </w:p>
    <w:p>
      <w:r>
        <w:t xml:space="preserve">(3) Eine über die vereinbarte regelmäßige tägliche oder wöchentliche Ausbildungszeit hinausgehende Beschäftigung ist nur ausnahmsweise zulässig und besonders zu vergüten.</w:t>
      </w:r>
    </w:p>
    <w:p>
      <w:r>
        <w:rPr>
          <w:color w:val="555555"/>
          <w:sz w:val="17"/>
        </w:rPr>
        <w:t xml:space="preserve">Zitiervorschlag: § 15 NotSanG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https://recht.nulegal.eu/gesetze/NotSanG/15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