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NotSanG — Führen der Berufsbezeichnung</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Wer die Berufsbezeichnung „Notfallsanitäterin“ oder „Notfallsanitäter“ führen will, bedarf der Erlaubnis.</w:t>
      </w:r>
    </w:p>
    <w:p>
      <w:r>
        <w:t xml:space="preserve">(2) Notfallsanitäterinnen und Notfallsanitäter, die Staatsangehörige eines Vertragsstaats des Europäischen Wirtschaftsraums sind, führen die Berufsbezeichnung nach Absatz 1 im Geltungsbereich dieses Gesetzes ohne Erlaubnis, sofern sie ihre Berufstätigkeit als vorübergehende und gelegentliche Dienstleistung im Sinne des Artikels 57 des Vertrages über die Arbeitsweise der Europäischen Union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Union eine Gleichstellung ergibt.</w:t>
      </w:r>
    </w:p>
    <w:p>
      <w:r>
        <w:rPr>
          <w:color w:val="555555"/>
          <w:sz w:val="17"/>
        </w:rPr>
        <w:t xml:space="preserve">Zitiervorschlag: § 1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