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NotSan-APrV — Sonderregelungen für Inhaberinnen und Inhaber von Ausbildungsnachweisen aus einem anderen Mitgliedstaat der Europäischen Union oder einem anderen Vertragsstaat des Abkommens über den Europäischen Wirtschaftsraum</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Personen, die über einen Ausbildungsnachweis aus einem anderen Mitgliedstaat der Europäischen Union oder einem anderen Vertragsstaat des Abkommens über den Europäischen Wirtschaftsraum verfügen und eine Erlaubnis nach § 1 Absatz 1 des Notfallsanitätergesetzes beantragen, können zum Nachweis, dass die Voraussetzungen nach § 2 Absatz 1 Nummer 2 des Notfallsanitätergesetzes vorliegen, eine von der zuständigen Behörde ihres Herkunftsmitgliedstaates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der antragstellenden Person die Ausübung des Berufs, der dem des Notfallsanitäters entspricht, nicht auf Grund eines schwerwiegenden standeswidrigen Verhaltens oder einer Verurteilung wegen strafbarer Handlungen dauerhaft oder vorübergehend untersagt worden ist. Hat die für die Erteilung der Erlaubnis zuständige Behörde in den Fällen des Satzes 1 oder des Satzes 2 von Tatsachen Kenntnis, die außerhalb des Geltungsbereichs des Notfallsanitätergesetzes eingetreten sind und im Hinblick auf die Voraussetzungen des § 2 Absatz 1 Nummer 2 des Notfallsanitätergesetzes von Bedeutung sein können, so hat sie die zuständige Stelle des Herkunftsmitgliedstaates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Personen nach Absatz 1 Satz 1 können zum Nachweis, dass die Voraussetzungen nach § 2 Absatz 1 Nummer 3 des Notfallsanitätergesetzes vorliegen, einen entsprechenden Nachweis ihres Herkunftsmitgliedstaates vorlegen. Wird im Herkunftsmitgliedstaat ein solcher Nachweis nicht verlangt, ist eine von einer zuständigen Behörde dieses Staates ausgestellte Bescheinigung anzuerkennen, aus der sich ergibt, dass die Voraussetzungen des § 2 Absatz 1 Nummer 3 des Notfallsanitätergesetzes erfüllt sind. Absatz 1 Satz 4 und 5 gilt entsprechend.</w:t>
      </w:r>
    </w:p>
    <w:p>
      <w:r>
        <w:t xml:space="preserve">(3) Personen nach Absatz 1 Satz 1 führen nach der Anerkennung ihrer Berufsqualifikation die Berufsbezeichnung „Notfallsanitäterin“ oder „Notfallsanitäter“.</w:t>
      </w:r>
    </w:p>
    <w:p>
      <w:r>
        <w:t xml:space="preserve">(4) Werden von der zuständigen Stelle des Herkunftsmitgliedstaates die in Absatz 1 Satz 1 genannten Bescheinigungen nicht ausgestellt oder die nach Absatz 1 Satz 2 oder Satz 3 nachgefragten Mitteilungen innerhalb von zwei Monaten nicht gemacht, kann die antragstellende Person sie durch Vorlage einer Bescheinigung über die Abgabe einer eidesstattlichen Erklärung gegenüber der zuständigen Behörde des Herkunftsmitgliedstaates ersetzen.</w:t>
      </w:r>
    </w:p>
    <w:p>
      <w:r>
        <w:t xml:space="preserve">(5) Die zuständige Behörde hat die dienstleistungserbringende Person bei der erstmaligen Anzeige einer Dienstleistungserbringung im Sinne des § 22 des Notfallsanitätergesetzes binnen eines Monats nach Eingang der Meldung und der Begleitdokumente über das Ergebnis ihrer Prüfung gemäß § 24 Absatz 1 des Notfallsanitätergesetzes zu unterrichten und ihr dabei mitzuteilen, ob sie die Erbringung der Dienstleistung erlaubt oder von ihr verlangt, eine Eignungsprüfung abzulegen. Ist der zuständigen Behörde eine Nachprüfung innerhalb eines Monats nach Eingang der Meldung und der Begleitdokumente in besonderen Ausnahmefällen nicht möglich, unterrichtet sie die dienstleistungserbringende Person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die dienstleistungserbringende Person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20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