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NotSan-APrV — Mündlicher Teil der Prüfung</w:t>
      </w:r>
    </w:p>
    <w:p>
      <w:r>
        <w:rPr>
          <w:color w:val="555555"/>
          <w:sz w:val="18"/>
        </w:rPr>
        <w:t xml:space="preserve">Ausbildungs- und Prüfungsverordnung für Notfallsanitäterinnen und Notfallsanitäter</w:t>
      </w:r>
    </w:p>
    <w:p>
      <w:r>
        <w:rPr>
          <w:color w:val="555555"/>
          <w:sz w:val="18"/>
        </w:rPr>
        <w:t xml:space="preserve">Stand: 01.10.2023 (konsolidierte Textfassung, kein amtliches Inkrafttretensdatum)</w:t>
      </w:r>
    </w:p>
    <w:p>
      <w:r>
        <w:t xml:space="preserve">(1) In der mündlichen Prüfung hat der Prüfling seine berufliche Handlungskompetenz, die sich in den Dimensionen Fach-, Sozial- und Selbstkompetenz entfaltet, nachzuweisen.</w:t>
      </w:r>
    </w:p>
    <w:p>
      <w:r>
        <w:t xml:space="preserve">(2) Der mündliche Teil der Prüfung erstreckt sich auf die folgenden Themenbereiche der Anlage 1:</w:t>
      </w:r>
    </w:p>
    <w:p>
      <w:pPr>
        <w:ind w:left="420"/>
      </w:pPr>
      <w:r>
        <w:t xml:space="preserve">1. Notfallsituationen bei Menschen aller Altersgruppen sowie Gefahrensituationen erkennen, erfassen und bewerten,</w:t>
      </w:r>
    </w:p>
    <w:p>
      <w:pPr>
        <w:ind w:left="420"/>
      </w:pPr>
      <w:r>
        <w:t xml:space="preserve">2. Kommunikation und Interaktion mit sowie Beratung von hilfesuchenden und hilfebedürftigen Menschen unter Berücksichtigung des jeweiligen Alters sowie soziologischer und psychologischer Aspekte; in Gruppen und Teams zusammenarbeiten,</w:t>
      </w:r>
    </w:p>
    <w:p>
      <w:pPr>
        <w:ind w:left="420"/>
      </w:pPr>
      <w:r>
        <w:t xml:space="preserve">3. bei der medizinischen Diagnostik und Therapie mitwirken, lebenserhaltende Maßnahmen und Maßnahmen zur Abwendung schwerer gesundheitlicher Schäden bis zum Eintreffen der Notärztin oder des Notarztes oder dem Beginn einer weiteren ärztlichen Versorgung durchführen.</w:t>
      </w:r>
    </w:p>
    <w:p>
      <w:r>
        <w:t xml:space="preserve">(3) Die Prüflinge werden einzeln oder zu zweit geprüft. Die Prüfung soll für jeden Prüfling mindestens 30 und nicht länger als 45 Minuten dauern.</w:t>
      </w:r>
    </w:p>
    <w:p>
      <w:r>
        <w:t xml:space="preserve">(4) Die Prüfung zu jedem Themenbereich wird von zwei Fachprüferinnen oder Fachprüfern gemäß § 5 Absatz 1 Satz 1 Nummer 3 abgenommen und benotet; in dem Prüfungsteil gemäß § 16 Absatz 2 Nummer 3 muss eine Fachprüferin oder ein Fachprüfer die Voraussetzung nach § 5 Absatz 1 Satz 1 Nummer 3 Buchstabe b erfüllen. Die oder der Vorsitzende ist berechtigt, am mündlichen Teil der Prüfung teilzunehmen; ihr oder ihm steht kein Fragerecht zu. Aus den Noten der Fachprüferinnen und Fachprüfer bildet die oder der Vorsitzende des Prüfungsausschusses die Note für den jeweiligen Themenbereich als das arithmetische Mittel. Aus den Noten der Themenbereiche bildet die oder der Vorsitzende als das arithmetische Mittel die Gesamtnote für den mündlichen Teil der Prüfung. Die Berechnung erfolgt auf zwei Stellen nach dem Komma ohne Rundung. Dem berechneten Zahlenwert ist die entsprechende Note nach § 8 zuzuordnen. Der mündliche Teil der Prüfung ist bestanden, wenn jeder Themenbereich mindestens mit „ausreichend“ benotet wird.</w:t>
      </w:r>
    </w:p>
    <w:p>
      <w:r>
        <w:t xml:space="preserve">(5) Die oder der Vorsitzende des Prüfungsausschusses kann mit Zustimmung des Prüflings die Anwesenheit von Zuhörerinnen und Zuhörern beim mündlichen Teil der Prüfung gestatten, wenn ein berechtigtes Interesse besteht.</w:t>
      </w:r>
    </w:p>
    <w:p>
      <w:r>
        <w:rPr>
          <w:color w:val="555555"/>
          <w:sz w:val="17"/>
        </w:rPr>
        <w:t xml:space="preserve">Zitiervorschlag: § 16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