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NotFV — Aufbewahrungsfristen</w:t>
      </w:r>
    </w:p>
    <w:p>
      <w:r>
        <w:rPr>
          <w:color w:val="555555"/>
          <w:sz w:val="18"/>
        </w:rPr>
        <w:t xml:space="preserve">Notarfachprüfungsverordnung</w:t>
      </w:r>
    </w:p>
    <w:p>
      <w:r>
        <w:rPr>
          <w:color w:val="555555"/>
          <w:sz w:val="18"/>
        </w:rPr>
        <w:t xml:space="preserve">Stand: 01.08.2021 (konsolidierte Textfassung, kein amtliches Inkrafttretensdatum)</w:t>
      </w:r>
    </w:p>
    <w:p>
      <w:r>
        <w:t xml:space="preserve">(1) Zeugnisse und Bescheide über das Ergebnis der notariellen Fachprüfung sowie die zugehörigen Zustellungsnachweise sind 50 Jahre aufzubewahren und anschließend zu vernichten. Gleiches gilt für die dem Prüfungsamt übermittelten Ausfertigungen oder Abschriften gerichtlicher Entscheidungen, die Bescheide über das Ergebnis der notariellen Fachprüfung betreffen.</w:t>
      </w:r>
    </w:p>
    <w:p>
      <w:r>
        <w:t xml:space="preserve">(2) Sonstige Prüfungsunterlagen sind fünf Jahre aufzubewahren und anschließend zu vernichten, sofern nicht im Einzelfall eine längere Aufbewahrungsdauer erforderlich ist. Gleiches gilt für die zu Mitgliedern der Aufgabenkommission, Prüfenden, Prüfungsleitungen sowie Aufsichtspersonen geführten Akten.</w:t>
      </w:r>
    </w:p>
    <w:p>
      <w:r>
        <w:t xml:space="preserve">(3) Die Frist beginnt in den Fällen des Absatzes 1 und des Absatzes 2 Satz 1 mit dem Ablauf des Jahres, in dem das Prüfungsergebnis dem Prüfling bekanntgegeben worden ist. In den Fällen des Absatzes 2 Satz 2 beginnt die Frist mit dem Ablauf des Jahres, in dem die Person aus dem Amt ausgeschieden ist.</w:t>
      </w:r>
    </w:p>
    <w:p>
      <w:r>
        <w:t xml:space="preserve">(4) Die elektronische Aufbewahrung ist zulässig.</w:t>
      </w:r>
    </w:p>
    <w:p>
      <w:r>
        <w:rPr>
          <w:color w:val="555555"/>
          <w:sz w:val="17"/>
        </w:rPr>
        <w:t xml:space="preserve">Zitiervorschlag: § 21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