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NotAktVV — Angaben im Urkundenverzeichnis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Eintragung im Urkundenverzeichnis enthält folgende Angaben:</w:t>
      </w:r>
    </w:p>
    <w:p>
      <w:pPr>
        <w:ind w:left="420"/>
      </w:pPr>
      <w:r>
        <w:t xml:space="preserve">1. das Datum und den Ort oder die Orte der Beurkundung oder der sonstigen Amtshandlung (§ 10),</w:t>
      </w:r>
    </w:p>
    <w:p>
      <w:pPr>
        <w:ind w:left="420"/>
      </w:pPr>
      <w:r>
        <w:t xml:space="preserve">2. die Amtsperson (§ 11),</w:t>
      </w:r>
    </w:p>
    <w:p>
      <w:pPr>
        <w:ind w:left="420"/>
      </w:pPr>
      <w:r>
        <w:t xml:space="preserve">3. die Beteiligten (§ 12),</w:t>
      </w:r>
    </w:p>
    <w:p>
      <w:pPr>
        <w:ind w:left="420"/>
      </w:pPr>
      <w:r>
        <w:t xml:space="preserve">4. den Geschäftsgegenstand (§ 13),</w:t>
      </w:r>
    </w:p>
    <w:p>
      <w:pPr>
        <w:ind w:left="420"/>
      </w:pPr>
      <w:r>
        <w:t xml:space="preserve">5. die Urkundenart (§ 14),</w:t>
      </w:r>
    </w:p>
    <w:p>
      <w:pPr>
        <w:ind w:left="420"/>
      </w:pPr>
      <w:r>
        <w:t xml:space="preserve">6. gegebenenfalls Angaben zu Ausfertigungen (§ 15),</w:t>
      </w:r>
    </w:p>
    <w:p>
      <w:pPr>
        <w:ind w:left="420"/>
      </w:pPr>
      <w:r>
        <w:t xml:space="preserve">7. gegebenenfalls weitere Angaben zu Verfügungen von Todes wegen (§ 16) und</w:t>
      </w:r>
    </w:p>
    <w:p>
      <w:pPr>
        <w:ind w:left="420"/>
      </w:pPr>
      <w:r>
        <w:t xml:space="preserve">8. gegebenenfalls sonstige Angaben (§ 17).</w:t>
      </w:r>
    </w:p>
    <w:p>
      <w:r>
        <w:rPr>
          <w:color w:val="555555"/>
          <w:sz w:val="17"/>
        </w:rPr>
        <w:t xml:space="preserve">Zitiervorschlag: § 9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