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NotAktVV — Führung des Urkundenverzeichnisses</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(1) Das Urkundenverzeichnis wird getrennt nach Kalenderjahren geführt. Die Eintragungen jedes Kalenderjahres sind mit fortlaufenden Nummern zu versehen.</w:t>
      </w:r>
    </w:p>
    <w:p>
      <w:r>
        <w:t xml:space="preserve">(2) Die Beurkundungen und sonstigen Amtshandlungen sind in der Reihenfolge des Datums ihrer Vornahme einzutragen. Ist eine Eintragung versehentlich unterblieben, so ist sie unter der nächsten fortlaufenden Nummer nachzutragen. Ist eine Eintragung versehentlich mehrfach erfolgt, so ist die wiederholte Eintragung als gegenstandslos zu kennzeichnen.</w:t>
      </w:r>
    </w:p>
    <w:p>
      <w:r>
        <w:rPr>
          <w:color w:val="555555"/>
          <w:sz w:val="17"/>
        </w:rPr>
        <w:t xml:space="preserve">Zitiervorschlag: § 8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