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NotAktVV — Datenschutz, Datensicherheit und Vertraulichkeit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Bundesnotarkammer hat ein Funktions- und Sicherheitskonzept für den Elektronischen Notariatsaktenspeicher zu erstellen und umzusetzen. In diesem sind die im Rahmen des § 54 Absatz 2 bereitgestellten Funktionen zu bestimmen. Zudem sind in ihm die einzelnen technischen und organisatorischen Maßnahmen festzulegen, die nach dem Stand der Technik Folgendes gewährleisten:</w:t>
      </w:r>
    </w:p>
    <w:p>
      <w:pPr>
        <w:ind w:left="420"/>
      </w:pPr>
      <w:r>
        <w:t xml:space="preserve">1. den Datenschutz,</w:t>
      </w:r>
    </w:p>
    <w:p>
      <w:pPr>
        <w:ind w:left="420"/>
      </w:pPr>
      <w:r>
        <w:t xml:space="preserve">2. die Datensicherheit,</w:t>
      </w:r>
    </w:p>
    <w:p>
      <w:pPr>
        <w:ind w:left="420"/>
      </w:pPr>
      <w:r>
        <w:t xml:space="preserve">3. die Wahrung der Integrität, Authentizität, Verkehrsfähigkeit, Verfügbarkeit, Lesbarkeit und Vertraulichkeit sowie</w:t>
      </w:r>
    </w:p>
    <w:p>
      <w:pPr>
        <w:ind w:left="420"/>
      </w:pPr>
      <w:r>
        <w:t xml:space="preserve">4. die Umsetzung der Vorgaben dieser Verordnung.</w:t>
      </w:r>
    </w:p>
    <w:p>
      <w:r>
        <w:t xml:space="preserve">(2) § 61 Absatz 1 Nummer 5 und 6, Absatz 2 Satz 4 sowie Absatz 3 gilt entsprechend. § 61 Absatz 1 Nummer 1 gilt außer in den Fällen des § 64 Absatz 2 entsprechend.</w:t>
      </w:r>
    </w:p>
    <w:p>
      <w:r>
        <w:rPr>
          <w:color w:val="555555"/>
          <w:sz w:val="17"/>
        </w:rPr>
        <w:t xml:space="preserve">Zitiervorschlag: § 66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