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NotAktVV — Nutzungsverhältnis und technische Zugangsberechtigung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Für den Elektronischen Notariatsaktenspeicher kann die Bundesnotarkammer ein Nutzungsverhältnis nur mit Notaren, Notariatsverwaltern oder Notarkammern begründen. Das Nutzungsverhältnis ist auf die amtlichen Tätigkeiten der Nutzenden beschränkt.</w:t>
      </w:r>
    </w:p>
    <w:p>
      <w:r>
        <w:t xml:space="preserve">(2) Die Bundesnotarkammer hat den Nutzenden eine technische Zugangsberechtigung zum Elektronischen Notariatsaktenspeicher einzuräumen.</w:t>
      </w:r>
    </w:p>
    <w:p>
      <w:r>
        <w:t xml:space="preserve">(3) § 58 Absatz 2 und 4 sowie § 59 gelten entsprechend. Im Fall des § 54 Absatz 2 Nummer 1 gilt zudem § 58 Absatz 1 und 3 entsprechend.</w:t>
      </w:r>
    </w:p>
    <w:p>
      <w:r>
        <w:rPr>
          <w:color w:val="555555"/>
          <w:sz w:val="17"/>
        </w:rPr>
        <w:t xml:space="preserve">Zitiervorschlag: § 63 NotAktVV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