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NotAktVV — Maßnahmen bei technischer Handlungsunfähigkeit der Notarkammern</w:t>
      </w:r>
    </w:p>
    <w:p>
      <w:r>
        <w:rPr>
          <w:color w:val="555555"/>
          <w:sz w:val="18"/>
        </w:rPr>
        <w:t xml:space="preserve">Verordnung über die Führung notarieller Akten und Verzeichnisse</w:t>
      </w:r>
    </w:p>
    <w:p>
      <w:r>
        <w:rPr>
          <w:color w:val="555555"/>
          <w:sz w:val="18"/>
        </w:rPr>
        <w:t xml:space="preserve">Stand: 01.01.2022 (konsolidierte Textfassung, kein amtliches Inkrafttretensdatum)</w:t>
      </w:r>
    </w:p>
    <w:p>
      <w:r>
        <w:t xml:space="preserve">Sind bei einer Notarkammer die technischen Voraussetzungen für die Wahrnehmung ihrer Aufgaben im Zusammenhang mit dem Elektronischen Urkundenarchiv nicht mehr gegeben, so trifft die Bundesnotarkammer die zur Wiederherstellung der technischen Handlungsfähigkeit der Notarkammer notwendigen Maßnahmen. Diese Maßnahmen sollen in dem Funktions- und Sicherheitskonzept nach § 61 Absatz 2 beschrieben werden.</w:t>
      </w:r>
    </w:p>
    <w:p>
      <w:r>
        <w:rPr>
          <w:color w:val="555555"/>
          <w:sz w:val="17"/>
        </w:rPr>
        <w:t xml:space="preserve">Zitiervorschlag: § 62 NotAktVV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https://recht.nulegal.eu/gesetze/NotAktVV/62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