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NotAktVV — Dokumentation der technischen Zugangsberechtigungen</w:t>
      </w:r>
    </w:p>
    <w:p>
      <w:r>
        <w:rPr>
          <w:color w:val="555555"/>
          <w:sz w:val="18"/>
        </w:rPr>
        <w:t xml:space="preserve">Verordnung über die Führung notarieller Akten und Verzeichnisse</w:t>
      </w:r>
    </w:p>
    <w:p>
      <w:r>
        <w:rPr>
          <w:color w:val="555555"/>
          <w:sz w:val="18"/>
        </w:rPr>
        <w:t xml:space="preserve">Stand: 01.01.2022 (konsolidierte Textfassung, kein amtliches Inkrafttretensdatum)</w:t>
      </w:r>
    </w:p>
    <w:p>
      <w:r>
        <w:t xml:space="preserve">(1) Die Bundesnotarkammer hat im Hinblick auf die Einräumung, die Überleitung und die Entziehung der technischen Zugangsberechtigungen zum Elektronischen Urkundenarchiv den jeweiligen Zeitpunkt und die jeweils beteiligten Personen und Notarkammern zu dokumentieren. Die Bundesnotarkammer kann weitere Dokumentationstatbestände vorsehen. Die Dokumentation nach Satz 1 ist für 100 Jahre aufzubewahren und sodann unverzüglich zu löschen.</w:t>
      </w:r>
    </w:p>
    <w:p>
      <w:r>
        <w:t xml:space="preserve">(2) Die Bundesnotarkammer kann den für die Verwahrung elektronischer Aufzeichnungen zuständigen Stellen und den Notarkammern Informationen über die erteilten technischen Zugangsberechtigungen übermitteln. Soweit die Dokumentation nach Absatz 1 für eine rechtliche Überprüfung dahingehend erforderlich ist, welche Person welche Eintragungen vorgenommen hat, hat die Bundesnotarkammer der für die Überprüfung zuständigen Stelle die notwendigen Informationen zur Verfügung zu stellen.</w:t>
      </w:r>
    </w:p>
    <w:p>
      <w:r>
        <w:rPr>
          <w:color w:val="555555"/>
          <w:sz w:val="17"/>
        </w:rPr>
        <w:t xml:space="preserve">Zitiervorschlag: § 60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