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NotAktVV — Technische und organisatorische Maßnahmen</w:t>
      </w:r>
    </w:p>
    <w:p>
      <w:r>
        <w:rPr>
          <w:color w:val="555555"/>
          <w:sz w:val="18"/>
        </w:rPr>
        <w:t xml:space="preserve">Verordnung über die Führung notarieller Akten und Verzeichnisse</w:t>
      </w:r>
    </w:p>
    <w:p>
      <w:r>
        <w:rPr>
          <w:color w:val="555555"/>
          <w:sz w:val="18"/>
        </w:rPr>
        <w:t xml:space="preserve">Stand: 29.10.2020 (konsolidierte Textfassung, kein amtliches Inkrafttretensdatum)</w:t>
      </w:r>
    </w:p>
    <w:p>
      <w:r>
        <w:t xml:space="preserve">Die Bundesnotarkammer präzisiert durch Verhaltensregeln nach Artikel 40 Absatz 2 Buchstabe h der Verordnung (EU) 2016/679 des Europäischen Parlaments und des Rates vom 27. April 2016 zum Schutz natürlicher Personen bei der Verarbeitung personenbezogener Daten, zum freien Datenverkehr und zur Aufhebung der Richtlinie 95/46/EG (Datenschutz-Grundverordnung) (ABl. L 119 vom 4.5.2016, S. 1; L 314 vom 22.11.2016, S. 72; L 127 vom 23.5.2018, S. 2) die technischen und organisatorischen Maßnahmen, die nach Artikel 32 der Verordnung (EU) 2016/679 zu treffen sind, um die Sicherheit der personenbezogenen Daten zu gewährleisten, die in den elektronischen Aufzeichnungen und den zu ihrer Führung verwendeten elektronischen Hilfsmitteln verarbeitet werden.</w:t>
      </w:r>
    </w:p>
    <w:p>
      <w:r>
        <w:rPr>
          <w:color w:val="555555"/>
          <w:sz w:val="17"/>
        </w:rPr>
        <w:t xml:space="preserve">Zitiervorschlag: § 6 NotAktVV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https://recht.nulegal.eu/gesetze/NotAktVV/6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