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56 NotAktVV — Sicherungsmaßnahmen gegen Missbrauch</w:t>
      </w:r>
    </w:p>
    <w:p>
      <w:r>
        <w:rPr>
          <w:color w:val="555555"/>
          <w:sz w:val="18"/>
        </w:rPr>
        <w:t xml:space="preserve">Verordnung über die Führung notarieller Akten und Verzeichnisse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Die Bundesnotarkammer hat geeignete technische und organisatorische Maßnahmen zur Verhinderung der missbräuchlichen Einräumung, Überleitung, Entziehung oder Ausübung von technischen Zugangsberechtigungen zu treffen.</w:t>
      </w:r>
    </w:p>
    <w:p>
      <w:r>
        <w:rPr>
          <w:color w:val="555555"/>
          <w:sz w:val="17"/>
        </w:rPr>
        <w:t xml:space="preserve">Zitiervorschlag: § 56 NotAktVV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https://recht.nulegal.eu/gesetze/NotAktVV/56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