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NotAktVV — Funktionen des Elektronischen Urkundenarchivs und des Elektronischen Notariatsaktenspeichers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Elektronische Urkundenarchiv ermöglicht</w:t>
      </w:r>
    </w:p>
    <w:p>
      <w:pPr>
        <w:ind w:left="420"/>
      </w:pPr>
      <w:r>
        <w:t xml:space="preserve">1. diejenigen Eintragungen in das Urkundenverzeichnis und das Verwahrungsverzeichnis, zu denen die zuständige Stelle verpflichtet ist, und</w:t>
      </w:r>
    </w:p>
    <w:p>
      <w:pPr>
        <w:ind w:left="420"/>
      </w:pPr>
      <w:r>
        <w:t xml:space="preserve">2. die Aufnahme derjenigen elektronischen Dokumente, die die zuständige Stelle in der elektronischen Urkundensammlung aufzubewahren hat.</w:t>
      </w:r>
    </w:p>
    <w:p>
      <w:r>
        <w:t xml:space="preserve">Die Bundesnotarkammer kann weitere Eintragungen in das Urkundenverzeichnis und das Verwahrungsverzeichnis sowie die Aufnahme weiterer elektronischer Dokumente in die elektronische Urkundensammlung zulassen.</w:t>
      </w:r>
    </w:p>
    <w:p>
      <w:r>
        <w:t xml:space="preserve">(2) Die Bundesnotarkammer kann über die Funktion des Elektronischen Notariatsaktenspeichers nach § 78k Absatz 1 der Bundesnotarordnung hinaus weitere ergänzende Funktionen anbieten, insbesondere</w:t>
      </w:r>
    </w:p>
    <w:p>
      <w:pPr>
        <w:ind w:left="420"/>
      </w:pPr>
      <w:r>
        <w:t xml:space="preserve">1. die Überleitung der gespeicherten Inhalte bei einer Änderung der Verwahrungszuständigkeit, ohne dass es der Übergabe eines physischen Datenträgers bedarf,</w:t>
      </w:r>
    </w:p>
    <w:p>
      <w:pPr>
        <w:ind w:left="420"/>
      </w:pPr>
      <w:r>
        <w:t xml:space="preserve">2. die strukturierte Speicherung derjenigen Akten und Verzeichnisse, zu deren Führung eine Verpflichtung besteht,</w:t>
      </w:r>
    </w:p>
    <w:p>
      <w:pPr>
        <w:ind w:left="420"/>
      </w:pPr>
      <w:r>
        <w:t xml:space="preserve">3. die strukturierte Speicherung von Hilfsmitteln (§ 35 Absatz 2 Satz 2 der Bundesnotarordnung),</w:t>
      </w:r>
    </w:p>
    <w:p>
      <w:pPr>
        <w:ind w:left="420"/>
      </w:pPr>
      <w:r>
        <w:t xml:space="preserve">4. die Erhaltung des Beweiswerts der gespeicherten elektronischen Dokumente, ohne dass es einer erneuten Signatur durch die verwahrende Stelle bedarf, und</w:t>
      </w:r>
    </w:p>
    <w:p>
      <w:pPr>
        <w:ind w:left="420"/>
      </w:pPr>
      <w:r>
        <w:t xml:space="preserve">5. die Übermittlung von gespeicherten elektronischen Dokumenten durch und an die für die Verwahrung elektronischer Aufzeichnungen zuständige Stelle sowie die sichere Möglichkeit der Einsichtnahme durch befugte Dritte.</w:t>
      </w:r>
    </w:p>
    <w:p>
      <w:r>
        <w:t xml:space="preserve">(3) Die Gestaltung des Elektronischen Urkundenarchivs und des Elektronischen Notariatsaktenspeichers einschließlich des Zugangs zu diesen soll die Anforderungen der Barrierefreiheit im Sinne der Barrierefreie-Informationstechnik-Verordnung berücksichtigen.</w:t>
      </w:r>
    </w:p>
    <w:p>
      <w:r>
        <w:rPr>
          <w:color w:val="555555"/>
          <w:sz w:val="17"/>
        </w:rPr>
        <w:t xml:space="preserve">Zitiervorschlag: § 54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