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NotAktVV — Sonderbestimmungen beim Übergang der Verwahrzuständigkeit</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Ist die Zuständigkeit für die Verwahrung von Akten und Verzeichnissen auf eine andere Stelle übergegangen, so darf diese die Akten und Verzeichnisse mindestens bis zum Ende des siebten Kalenderjahres aufbewahren, das auf die Übernahme der Verwahrzuständigkeit für diese Akten und Verzeichnisse folgt. Satz 1 gilt nicht</w:t>
      </w:r>
    </w:p>
    <w:p>
      <w:pPr>
        <w:ind w:left="420"/>
      </w:pPr>
      <w:r>
        <w:t xml:space="preserve">1. für Akten und Verzeichnisse, die im elektronischen Urkundenarchiv geführt werden,</w:t>
      </w:r>
    </w:p>
    <w:p>
      <w:pPr>
        <w:ind w:left="420"/>
      </w:pPr>
      <w:r>
        <w:t xml:space="preserve">2. für andere elektronisch geführten Akten und Verzeichnisse, zu denen die Aufbewahrungsfristen so strukturiert erfasst wurden, dass eine Löschung ohne größeren Aufwand möglich ist, und</w:t>
      </w:r>
    </w:p>
    <w:p>
      <w:pPr>
        <w:ind w:left="420"/>
      </w:pPr>
      <w:r>
        <w:t xml:space="preserve">3. für den Fall, dass die Zuständigkeit an die Stelle zurückfällt, die ursprünglich für die Verwahrung zuständig war.</w:t>
      </w:r>
    </w:p>
    <w:p>
      <w:r>
        <w:t xml:space="preserve">Fällt die Zuständigkeit an eine sonstige Stelle zurück, die bereits einmal für die Verwahrung zuständig war, so reduziert sich für diese die Frist nach Satz 1 um die Zeit, die sie bereits für die Verwahrung zuständig war.</w:t>
      </w:r>
    </w:p>
    <w:p>
      <w:r>
        <w:rPr>
          <w:color w:val="555555"/>
          <w:sz w:val="17"/>
        </w:rPr>
        <w:t xml:space="preserve">Zitiervorschlag: § 53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