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NotAktVV — Sonderbestimmungen für Nebenakten</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Werden die Nebenakten für mehrere Amtsgeschäfte gemeinsam geführt, darf ihr gesamter Inhalt bis zum Ablauf der Aufbewahrungsfrist des letzten Amtsgeschäfts aufbewahrt werden.</w:t>
      </w:r>
    </w:p>
    <w:p>
      <w:r>
        <w:t xml:space="preserve">(2) Der Notar kann im Einzelfall, für einzelne Arten von Rechtsgeschäften oder für einzelne Arten von Amtsgeschäften eine längere Aufbewahrungsfrist für die Nebenakten bestimmen, wenn er hieran ein berechtigtes Interesse hat oder ein berechtigtes Interesse der Beteiligten oder des Rechtsverkehrs anzunehmen ist. Der Notar hat eine solche Aufbewahrungsfrist nach pflichtgemäßem Ermessen zu bestimmen; sie darf höchstens 30 Jahre betragen. Eine nachfolgend für die Verwahrung zuständige Stelle ist an die Bestimmung einer längeren Aufbewahrungsfrist gebunden.</w:t>
      </w:r>
    </w:p>
    <w:p>
      <w:r>
        <w:t xml:space="preserve">(3) Ordnet der Notar nach § 35 Absatz 6 Satz 3 der Bundesnotarordnung an, dass eine Nebenakte nach Ablauf der Aufbewahrungsfrist im Einzelfall weiter aufzubewahren ist, so ist dies mit dem Grund der weiteren Aufbewahrung auf der Akte zu vermerken. Wird die Nebenakte elektronisch geführt, sind die Anordnung der weiteren Aufbewahrung und der Grund für die Anordnung in einer dem Vermerk gleichwertigen Form zu dokumentieren.</w:t>
      </w:r>
    </w:p>
    <w:p>
      <w:r>
        <w:rPr>
          <w:color w:val="555555"/>
          <w:sz w:val="17"/>
        </w:rPr>
        <w:t xml:space="preserve">Zitiervorschlag: § 52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