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NotAktVV — Aufbewahrungsfristen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Unterlagen, die ab dem 1. Januar 2022 erstellt werden, gelten folgende Aufbewahrungsfristen:</w:t>
      </w:r>
    </w:p>
    <w:p>
      <w:pPr>
        <w:ind w:left="420"/>
      </w:pPr>
      <w:r>
        <w:t xml:space="preserve">1. für Eintragungen im Urkundenverzeichnis 100 Jahre,</w:t>
      </w:r>
    </w:p>
    <w:p>
      <w:pPr>
        <w:ind w:left="420"/>
      </w:pPr>
      <w:r>
        <w:t xml:space="preserve">2. für Eintragungen im Verwahrungsverzeichnis 30 Jahre,</w:t>
      </w:r>
    </w:p>
    <w:p>
      <w:pPr>
        <w:ind w:left="420"/>
      </w:pPr>
      <w:r>
        <w:t xml:space="preserve">3. für die in der Urkundensammlung verwahrten Dokumente 30 Jahre,</w:t>
      </w:r>
    </w:p>
    <w:p>
      <w:pPr>
        <w:ind w:left="420"/>
      </w:pPr>
      <w:r>
        <w:t xml:space="preserve">4. für die in der Erbvertragssammlung verwahrten Dokumente 100 Jahre,</w:t>
      </w:r>
    </w:p>
    <w:p>
      <w:pPr>
        <w:ind w:left="420"/>
      </w:pPr>
      <w:r>
        <w:t xml:space="preserve">5. für die in der elektronischen Urkundensammlung verwahrten Dokumente 100 Jahre,</w:t>
      </w:r>
    </w:p>
    <w:p>
      <w:pPr>
        <w:ind w:left="420"/>
      </w:pPr>
      <w:r>
        <w:t xml:space="preserve">6. für die in der Sondersammlung verwahrten Dokumente 100 Jahre,</w:t>
      </w:r>
    </w:p>
    <w:p>
      <w:pPr>
        <w:ind w:left="420"/>
      </w:pPr>
      <w:r>
        <w:t xml:space="preserve">7. für die in der Nebenakte verwahrten Dokumente 7 Jahre,</w:t>
      </w:r>
    </w:p>
    <w:p>
      <w:pPr>
        <w:ind w:left="420"/>
      </w:pPr>
      <w:r>
        <w:t xml:space="preserve">8. für die in der Sammelakte für Wechsel- und Scheckproteste verwahrten Dokumente 7 Jahre und</w:t>
      </w:r>
    </w:p>
    <w:p>
      <w:pPr>
        <w:ind w:left="420"/>
      </w:pPr>
      <w:r>
        <w:t xml:space="preserve">9. für die in der Generalakte verwahrten Dokumente 30 Jahre.</w:t>
      </w:r>
    </w:p>
    <w:p>
      <w:r>
        <w:t xml:space="preserve">Satz 1 Nummer 3 bis 6 ist auf vom 1. Januar bis zum 30. Juni 2022 erstellte Unterlagen nicht anzuwenden.</w:t>
      </w:r>
    </w:p>
    <w:p>
      <w:r>
        <w:t xml:space="preserve">(2) Die Aufbewahrungsfristen beginnen:</w:t>
      </w:r>
    </w:p>
    <w:p>
      <w:pPr>
        <w:ind w:left="420"/>
      </w:pPr>
      <w:r>
        <w:t xml:space="preserve">1. für Eintragungen im Urkundenverzeichnis mit dem Kalenderjahr, das auf die Eintragung folgt,</w:t>
      </w:r>
    </w:p>
    <w:p>
      <w:pPr>
        <w:ind w:left="420"/>
      </w:pPr>
      <w:r>
        <w:t xml:space="preserve">2. für Eintragungen im Verwahrungsverzeichnis mit dem Kalenderjahr, das auf den Abschluss des Verwahrungsgeschäfts folgt,</w:t>
      </w:r>
    </w:p>
    <w:p>
      <w:pPr>
        <w:ind w:left="420"/>
      </w:pPr>
      <w:r>
        <w:t xml:space="preserve">3. für Dokumente, die in der Urkundensammlung, der Erbvertragssammlung, der elektronischen Urkundensammlung, der Sondersammlung oder der Sammelakte für Wechsel- und Scheckproteste verwahrt werden, mit dem Kalenderjahr, das auf die Beurkundung oder die sonstige Amtshandlung folgt,</w:t>
      </w:r>
    </w:p>
    <w:p>
      <w:pPr>
        <w:ind w:left="420"/>
      </w:pPr>
      <w:r>
        <w:t xml:space="preserve">4. für die in der Nebenakte verwahrten Dokumente mit dem Kalenderjahr, das auf den Abschluss des Amtsgeschäfts folgt, zu dem die Nebenakte geführt wurde, und</w:t>
      </w:r>
    </w:p>
    <w:p>
      <w:pPr>
        <w:ind w:left="420"/>
      </w:pPr>
      <w:r>
        <w:t xml:space="preserve">5. für die in der Generalakte verwahrten Dokumente mit dem Kalenderjahr, das auf das Erlöschen des Amtes des Notars oder die Verlegung seines Amtssitzes in einen anderen Amtsgerichtsbezirk folgt.</w:t>
      </w:r>
    </w:p>
    <w:p>
      <w:r>
        <w:rPr>
          <w:color w:val="555555"/>
          <w:sz w:val="17"/>
        </w:rPr>
        <w:t xml:space="preserve">Zitiervorschlag: § 50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