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NotAktVV — Ersatzaufzeichnungen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Ist ein Zugriff auf das Elektronische Urkundenarchiv oder auf andere für die elektronische Verzeichnisführung verwendete Systeme nicht möglich, so sind die für diese Systeme bestimmten Aufzeichnungen ersatzweise in Papierform oder in elektronischer Form vorzunehmen.</w:t>
      </w:r>
    </w:p>
    <w:p>
      <w:r>
        <w:t xml:space="preserve">(2) Sobald ein Zugriff auf das Elektronische Urkundenarchiv oder auf andere für die elektronische Verzeichnisführung verwendete Systeme wieder möglich ist, sind die ersatzweise vorgenommenen Aufzeichnungen unverzüglich nachzutragen und anschließend zu vernichten oder zu löschen.</w:t>
      </w:r>
    </w:p>
    <w:p>
      <w:r>
        <w:rPr>
          <w:color w:val="555555"/>
          <w:sz w:val="17"/>
        </w:rPr>
        <w:t xml:space="preserve">Zitiervorschlag: § 49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