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NotAktVV — Elektronische Führung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Soll die Generalakte teilweise in Papierform und teilweise elektronisch geführt werden, so ist die jeweilige Form auf ganze Jahrgänge, ganze Sachgebiete oder ganze Jahrgänge ganzer Sachgebiete zu erstrecken.</w:t>
      </w:r>
    </w:p>
    <w:p>
      <w:r>
        <w:t xml:space="preserve">(2) Im Übrigen gilt für die elektronische Führung der Generalakte § 43 entsprechend.</w:t>
      </w:r>
    </w:p>
    <w:p>
      <w:r>
        <w:rPr>
          <w:color w:val="555555"/>
          <w:sz w:val="17"/>
        </w:rPr>
        <w:t xml:space="preserve">Zitiervorschlag: § 47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