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NotAktVV — Generalakte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Für Vorgänge, die die Amtsführung im Allgemeinen betreffen, ist eine Generalakte zu führen. Sie enthält insbesondere</w:t>
      </w:r>
    </w:p>
    <w:p>
      <w:pPr>
        <w:ind w:left="420"/>
      </w:pPr>
      <w:r>
        <w:t xml:space="preserve">1. Schriftverkehr mit den Aufsichtsbehörden, insbesondere zu Nebentätigkeiten, Verhinderungsfällen und Vertretungsbestellungen,</w:t>
      </w:r>
    </w:p>
    <w:p>
      <w:pPr>
        <w:ind w:left="420"/>
      </w:pPr>
      <w:r>
        <w:t xml:space="preserve">2. Berichte über die Prüfung der Amtsführung und den dazugehörigen Schriftverkehr,</w:t>
      </w:r>
    </w:p>
    <w:p>
      <w:pPr>
        <w:ind w:left="420"/>
      </w:pPr>
      <w:r>
        <w:t xml:space="preserve">3. Schriftverkehr mit der Notarkammer sowie der Notarkasse und der Ländernotarkasse,</w:t>
      </w:r>
    </w:p>
    <w:p>
      <w:pPr>
        <w:ind w:left="420"/>
      </w:pPr>
      <w:r>
        <w:t xml:space="preserve">4. Unterlagen über die Einhaltung der datenschutzrechtlichen Vorgaben,</w:t>
      </w:r>
    </w:p>
    <w:p>
      <w:pPr>
        <w:ind w:left="420"/>
      </w:pPr>
      <w:r>
        <w:t xml:space="preserve">5. Unterlagen über die Einhaltung der geldwäscherechtlichen Vorgaben,</w:t>
      </w:r>
    </w:p>
    <w:p>
      <w:pPr>
        <w:ind w:left="420"/>
      </w:pPr>
      <w:r>
        <w:t xml:space="preserve">6. Originale oder Kopien der Unterlagen über die Berufshaftpflichtversicherung einschließlich des Versicherungsscheins und der Belege über die Prämienzahlung, soweit nicht eine Gruppenberufshaftpflichtversicherung nach § 113 Absatz 3 Nummer 3 der Bundesnotarordnung besteht,</w:t>
      </w:r>
    </w:p>
    <w:p>
      <w:pPr>
        <w:ind w:left="420"/>
      </w:pPr>
      <w:r>
        <w:t xml:space="preserve">7. Niederschriften über Verpflichtungen nach § 26 der Bundesnotarordnung,</w:t>
      </w:r>
    </w:p>
    <w:p>
      <w:pPr>
        <w:ind w:left="420"/>
      </w:pPr>
      <w:r>
        <w:t xml:space="preserve">8. Verträge im Sinne des § 26a Absatz 3 der Bundesnotarordnung und Nachweise über Verpflichtungen im Sinne des § 26a Absatz 6 Satz 1 der Bundesnotarordnung,</w:t>
      </w:r>
    </w:p>
    <w:p>
      <w:pPr>
        <w:ind w:left="420"/>
      </w:pPr>
      <w:r>
        <w:t xml:space="preserve">9. Anzeigen nach § 27 der Bundesnotarordnung,</w:t>
      </w:r>
    </w:p>
    <w:p>
      <w:pPr>
        <w:ind w:left="420"/>
      </w:pPr>
      <w:r>
        <w:t xml:space="preserve">10. Prüfzeugnisse, Bescheinigungen und vergleichbare Erklärungen,</w:t>
      </w:r>
    </w:p>
    <w:p>
      <w:pPr>
        <w:ind w:left="420"/>
      </w:pPr>
      <w:r>
        <w:t xml:space="preserve">11. mit einer Zertifizierung verbundene Schriftstücke und</w:t>
      </w:r>
    </w:p>
    <w:p>
      <w:pPr>
        <w:ind w:left="420"/>
      </w:pPr>
      <w:r>
        <w:t xml:space="preserve">12. generelle Bestimmungen über die Verlängerung der Aufbewahrungsfrist von Nebenakten.</w:t>
      </w:r>
    </w:p>
    <w:p>
      <w:r>
        <w:t xml:space="preserve">(2) Die Generalakte ist entweder nach Sachgebieten geordnet zu gliedern oder mit fortlaufenden Seitenzahlen und einem Inhaltsverzeichnis zu versehen.</w:t>
      </w:r>
    </w:p>
    <w:p>
      <w:r>
        <w:rPr>
          <w:color w:val="555555"/>
          <w:sz w:val="17"/>
        </w:rPr>
        <w:t xml:space="preserve">Zitiervorschlag: § 46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