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NotAktVV — Sammelakte</w:t>
      </w:r>
    </w:p>
    <w:p>
      <w:r>
        <w:rPr>
          <w:color w:val="555555"/>
          <w:sz w:val="18"/>
        </w:rPr>
        <w:t xml:space="preserve">Verordnung über die Führung notarieller Akten und Verzeichnisse</w:t>
      </w:r>
    </w:p>
    <w:p>
      <w:r>
        <w:rPr>
          <w:color w:val="555555"/>
          <w:sz w:val="18"/>
        </w:rPr>
        <w:t xml:space="preserve">Stand: 01.01.2022 (konsolidierte Textfassung, kein amtliches Inkrafttretensdatum)</w:t>
      </w:r>
    </w:p>
    <w:p>
      <w:r>
        <w:t xml:space="preserve">(1) Beglaubigte Abschriften von Protesturkunden, die bei der Aufnahme von Wechsel- oder Scheckprotesten zurückbehalten wurden, und Vermerke, die über den Inhalt des Wechsels, der Wechselabschrift oder des Schecks aufgenommen wurden (Artikel 85 Absatz 2 Satz 2 und 3 des Wechselgesetzes, Artikel 55 Absatz 3 des Scheckgesetzes), sind in einer Sammelakte zu vereinigen.</w:t>
      </w:r>
    </w:p>
    <w:p>
      <w:r>
        <w:t xml:space="preserve">(2) Die beglaubigten Abschriften der Protesturkunden und die Vermerke sind möglichst auf dasselbe Blatt zu setzen und nach der Reihenfolge ihrer Erstellung zu ordnen. Die beglaubigten Abschriften der Protesturkunden sind mit fortlaufenden Nummern zu versehen.</w:t>
      </w:r>
    </w:p>
    <w:p>
      <w:r>
        <w:t xml:space="preserve">(3) Anstelle der in Absatz 1 bezeichneten Abschriften und Vermerke können auch elektronisch beglaubigte Abschriften in dem Dateiformat aufbewahrt werden, das für Dokumente in der elektronischen Urkundensammlung vorgeschrieben ist. Die Aufbewahrung muss für die in einem Kalenderjahr angefallenen Urkunden einheitlich in Papierform oder in elektronischer Form erfolgen.</w:t>
      </w:r>
    </w:p>
    <w:p>
      <w:r>
        <w:rPr>
          <w:color w:val="555555"/>
          <w:sz w:val="17"/>
        </w:rPr>
        <w:t xml:space="preserve">Zitiervorschlag: § 45 NotAktVV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https://recht.nulegal.eu/gesetze/NotAktVV/45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