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NotAktVV — Führung in Papierform und elektronische Führung</w:t>
      </w:r>
    </w:p>
    <w:p>
      <w:r>
        <w:rPr>
          <w:color w:val="555555"/>
          <w:sz w:val="18"/>
        </w:rPr>
        <w:t xml:space="preserve">Verordnung über die Führung notarieller Akten und Verzeichnisse</w:t>
      </w:r>
    </w:p>
    <w:p>
      <w:r>
        <w:rPr>
          <w:color w:val="555555"/>
          <w:sz w:val="18"/>
        </w:rPr>
        <w:t xml:space="preserve">Stand: 29.10.2020 (konsolidierte Textfassung, kein amtliches Inkrafttretensdatum)</w:t>
      </w:r>
    </w:p>
    <w:p>
      <w:r>
        <w:t xml:space="preserve">(1) Werden die Nebenakten zu einzelnen Amtsgeschäften in Papierform und zu anderen Amtsgeschäften elektronisch geführt, so ist durch geeignete Vorkehrungen sicherzustellen, dass die jeweiligen Nebenakten problemlos auffindbar und zugänglich sind.</w:t>
      </w:r>
    </w:p>
    <w:p>
      <w:r>
        <w:t xml:space="preserve">(2) Wird die Nebenakte zu einem Amtsgeschäft teilweise in Papierform und teilweise elektronisch geführt, so ist durch geeignete Vorkehrungen die Transparenz, die Vollständigkeit und die Verfügbarkeit des Akteninhalts sicherzustellen.</w:t>
      </w:r>
    </w:p>
    <w:p>
      <w:r>
        <w:rPr>
          <w:color w:val="555555"/>
          <w:sz w:val="17"/>
        </w:rPr>
        <w:t xml:space="preserve">Zitiervorschlag: § 44 NotAktVV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https://recht.nulegal.eu/gesetze/NotAktVV/44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