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NotAktVV — Elektronische Führung</w:t>
      </w:r>
    </w:p>
    <w:p>
      <w:r>
        <w:rPr>
          <w:color w:val="555555"/>
          <w:sz w:val="18"/>
        </w:rPr>
        <w:t xml:space="preserve">Verordnung über die Führung notarieller Akten und Verzeichnisse</w:t>
      </w:r>
    </w:p>
    <w:p>
      <w:r>
        <w:rPr>
          <w:color w:val="555555"/>
          <w:sz w:val="18"/>
        </w:rPr>
        <w:t xml:space="preserve">Stand: 29.10.2020 (konsolidierte Textfassung, kein amtliches Inkrafttretensdatum)</w:t>
      </w:r>
    </w:p>
    <w:p>
      <w:r>
        <w:t xml:space="preserve">(1) Werden die Nebenakten elektronisch geführt, müssen die Nebenakten und die darin aufgenommenen Dokumente durch einen strukturierten Datensatz beschrieben sein. Hat die Bundesnotarkammer in ihrem Verkündungsblatt nähere Angaben zu dem strukturierten Datensatz sowie zu den Dateiformaten bekannt gemacht, die bei der Führung der Nebenakten zu verwenden sind, so sind diese zu beachten. Die Bekanntmachung im Verkündungsblatt kann zu technischen Einzelheiten auf eine Veröffentlichung im Internet Bezug nehmen.</w:t>
      </w:r>
    </w:p>
    <w:p>
      <w:r>
        <w:t xml:space="preserve">(2) Eine elektronisch geführte Nebenakte muss jederzeit in das Dateiformat überführt werden können, das für Dokumente in der elektronischen Urkundensammlung vorgeschrieben ist.</w:t>
      </w:r>
    </w:p>
    <w:p>
      <w:r>
        <w:rPr>
          <w:color w:val="555555"/>
          <w:sz w:val="17"/>
        </w:rPr>
        <w:t xml:space="preserve">Zitiervorschlag: § 43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