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NotAktVV — Führung in Papierform</w:t>
      </w:r>
    </w:p>
    <w:p>
      <w:r>
        <w:rPr>
          <w:color w:val="555555"/>
          <w:sz w:val="18"/>
        </w:rPr>
        <w:t xml:space="preserve">Verordnung über die Führung notarieller Akten und Verzeichnisse</w:t>
      </w:r>
    </w:p>
    <w:p>
      <w:r>
        <w:rPr>
          <w:color w:val="555555"/>
          <w:sz w:val="18"/>
        </w:rPr>
        <w:t xml:space="preserve">Stand: 29.10.2020 (konsolidierte Textfassung, kein amtliches Inkrafttretensdatum)</w:t>
      </w:r>
    </w:p>
    <w:p>
      <w:r>
        <w:t xml:space="preserve">Werden die Nebenakten in Papierform geführt, müssen die aufgenommenen Dokumente nachvollziehbar geordnet sein. Werden Sammelakten geführt, so ist erforderlichenfalls durch besondere Vorkehrungen dafür zu sorgen, dass die Verfügbarkeit aller Inhalte sichergestellt ist und die Dokumente, die zu einzelnen Amtsgeschäften gehören, aufgefunden werden können.</w:t>
      </w:r>
    </w:p>
    <w:p>
      <w:r>
        <w:rPr>
          <w:color w:val="555555"/>
          <w:sz w:val="17"/>
        </w:rPr>
        <w:t xml:space="preserve">Zitiervorschlag: § 42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