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NotAktVV — Sonderbestimmungen für Verwahrungsgeschäfte</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Zu jedem Verwahrungsgeschäft ist eine Nebenakte zu führen. Die Führung von Sammelakten ist für Verwahrungsgeschäfte nicht zulässig.</w:t>
      </w:r>
    </w:p>
    <w:p>
      <w:r>
        <w:t xml:space="preserve">(2) Zu den Nebenakten für Verwahrungsgeschäfte sind insbesondere zu nehmen</w:t>
      </w:r>
    </w:p>
    <w:p>
      <w:pPr>
        <w:ind w:left="420"/>
      </w:pPr>
      <w:r>
        <w:t xml:space="preserve">1. sämtliche Verwahrungsanträge und -anweisungen (§ 57 Absatz 2 bis 4 des Beurkundungsgesetzes),</w:t>
      </w:r>
    </w:p>
    <w:p>
      <w:pPr>
        <w:ind w:left="420"/>
      </w:pPr>
      <w:r>
        <w:t xml:space="preserve">2. die Treuhandaufträge und die Verwahrungsanweisungen, die dem Notar im Zusammenhang mit dem Vollzug desjenigen Geschäfts erteilt worden sind, das der Verwahrung zugrunde liegt (§ 57 Absatz 6 des Beurkundungsgesetzes),</w:t>
      </w:r>
    </w:p>
    <w:p>
      <w:pPr>
        <w:ind w:left="420"/>
      </w:pPr>
      <w:r>
        <w:t xml:space="preserve">3. Änderungen oder Ergänzungen der Verwahrungsanweisungen und der Treuhandaufträge,</w:t>
      </w:r>
    </w:p>
    <w:p>
      <w:pPr>
        <w:ind w:left="420"/>
      </w:pPr>
      <w:r>
        <w:t xml:space="preserve">4. Annahmeerklärungen (§ 57 Absatz 2 Nummer 3 und Absatz 5 des Beurkundungsgesetzes) und</w:t>
      </w:r>
    </w:p>
    <w:p>
      <w:pPr>
        <w:ind w:left="420"/>
      </w:pPr>
      <w:r>
        <w:t xml:space="preserve">5. Belege, Kontoauszüge und Abschriften von Abrechnungen und Kostenberechnungen, die die Verwahrung betreffen.</w:t>
      </w:r>
    </w:p>
    <w:p>
      <w:r>
        <w:t xml:space="preserve">(3) Sämtliche Nebenakten zu laufenden Verwahrungsgeschäften sind einheitlich in Papierform oder elektronisch zu führen. Ein Wechsel der Form der Aktenführung ist nur zu Beginn eines Kalenderjahres zulässig. Für Verwahrungsmassen, die vor einem Wechsel nach Satz 2 in das Verwahrungsverzeichnis eingetragen wurden, kann es abweichend von Satz 1 bei der früheren Form der Aktenführung verbleiben. Ist das Verwahrungsverhältnis beendet, so ist es zulässig, zunächst in Papierform geführte Nebenakten nur noch elektronisch aufzubewahren. Die Aufsichtsbehörde kann Ausnahmen von den Regelungen der Sätze 1 und 2 zulassen.</w:t>
      </w:r>
    </w:p>
    <w:p>
      <w:r>
        <w:t xml:space="preserve">(4) Kontoauszüge sind mit der Massenummer zu versehen. Belege für Einnahmen und Ausgaben sind jeweils mit der Massenummer und der Buchungsnummer zu versehen. Führt der Notar aufgrund einer Übertragung der Verwahrzuständigkeit nach § 51 Absatz 1 und 3 der Bundesnotarordnung die Verwahrungsgeschäfte eines anderen Notars fort, so soll der Buchungsnummer ein Zusatz vorangestellt werden, der eine Unterscheidung zwischen den vor und den nach der Übertragung der Verwahrzuständigkeit zu den Nebenakten genommenen Dokumenten erlaubt.</w:t>
      </w:r>
    </w:p>
    <w:p>
      <w:r>
        <w:t xml:space="preserve">(5) Kontoauszüge und sonstige Mitteilungen von Kreditinstituten und an Kreditinstitute, die die Führung der Notaranderkonten betreffen, müssen nicht in den Nebenakten aufbewahrt werden, wenn sie elektronisch im Verwahrungsverzeichnis gespeichert sind. Im Übrigen sind Belege und Kontoauszüge sowie Erklärungen nach Absatz 2 Nummer 4 im Original aufzubewahren, sofern sie nicht aufgrund der für die Führung der Nebenakte gewählten Form in eine andere Form übertragen werden müssen.</w:t>
      </w:r>
    </w:p>
    <w:p>
      <w:r>
        <w:rPr>
          <w:color w:val="555555"/>
          <w:sz w:val="17"/>
        </w:rPr>
        <w:t xml:space="preserve">Zitiervorschlag: § 41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