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NotAktVV — Nebenakten</w:t>
      </w:r>
    </w:p>
    <w:p>
      <w:r>
        <w:rPr>
          <w:color w:val="555555"/>
          <w:sz w:val="18"/>
        </w:rPr>
        <w:t xml:space="preserve">Verordnung über die Führung notarieller Akten und Verzeichnisse</w:t>
      </w:r>
    </w:p>
    <w:p>
      <w:r>
        <w:rPr>
          <w:color w:val="555555"/>
          <w:sz w:val="18"/>
        </w:rPr>
        <w:t xml:space="preserve">Stand: 29.10.2020 (konsolidierte Textfassung, kein amtliches Inkrafttretensdatum)</w:t>
      </w:r>
    </w:p>
    <w:p>
      <w:r>
        <w:t xml:space="preserve">(1) Zu allen Amtsgeschäften können Nebenakten geführt werden. Eine Nebenakte muss geführt werden, soweit dies zur Vornahme eines Amtsgeschäfts geboten ist. Die Nebenakten können als Sammelakten geführt werden, wenn ein sachlicher Grund hierfür besteht und die geordnete Aktenführung sichergestellt ist.</w:t>
      </w:r>
    </w:p>
    <w:p>
      <w:r>
        <w:t xml:space="preserve">(2) Nebenakten können insbesondere enthalten</w:t>
      </w:r>
    </w:p>
    <w:p>
      <w:pPr>
        <w:ind w:left="420"/>
      </w:pPr>
      <w:r>
        <w:t xml:space="preserve">1. die Kontaktdaten der Beteiligten,</w:t>
      </w:r>
    </w:p>
    <w:p>
      <w:pPr>
        <w:ind w:left="420"/>
      </w:pPr>
      <w:r>
        <w:t xml:space="preserve">2. Daten, die zur Identifizierung der Beteiligten erforderlich sind, einschließlich Kopien vorgelegter Ausweisdokumente,</w:t>
      </w:r>
    </w:p>
    <w:p>
      <w:pPr>
        <w:ind w:left="420"/>
      </w:pPr>
      <w:r>
        <w:t xml:space="preserve">3. Schriftverkehr mit den Beteiligten, mit den Gerichten und den Behörden sowie andere Dokumente, die nicht zur Urkundensammlung zu nehmen sind,</w:t>
      </w:r>
    </w:p>
    <w:p>
      <w:pPr>
        <w:ind w:left="420"/>
      </w:pPr>
      <w:r>
        <w:t xml:space="preserve">4. personenbezogene Daten besonderer Kategorien, insbesondere Informationen zur Gesundheit der Beteiligten, soweit diese zur Erfüllung von Amtspflichten erforderlich sind, und</w:t>
      </w:r>
    </w:p>
    <w:p>
      <w:pPr>
        <w:ind w:left="420"/>
      </w:pPr>
      <w:r>
        <w:t xml:space="preserve">5. weitere Informationen, die zur Erfüllung der beurkundungsrechtlichen Pflichten oder sonst zur Vornahme des Amtsgeschäfts erforderlich sind.</w:t>
      </w:r>
    </w:p>
    <w:p>
      <w:r>
        <w:rPr>
          <w:color w:val="555555"/>
          <w:sz w:val="17"/>
        </w:rPr>
        <w:t xml:space="preserve">Zitiervorschlag: § 40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