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NotAktVV — Sonderbestimmungen für Verfügungen von Todes wegen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Wird den Beteiligten nach § 33 Absatz 4 die in der Urkundensammlung verwahrte beglaubigte Abschrift einer Verfügung von Todes wegen ausgehändigt, so ist auch die elektronisch beglaubigte Abschrift, die in der elektronischen Urkundensammlung verwahrt wird, zu löschen.</w:t>
      </w:r>
    </w:p>
    <w:p>
      <w:r>
        <w:t xml:space="preserve">(2) Ein Vermerk nach § 33 Absatz 5 ist auch in die elektronische Urkundensammlung aufzunehmen.</w:t>
      </w:r>
    </w:p>
    <w:p>
      <w:r>
        <w:rPr>
          <w:color w:val="555555"/>
          <w:sz w:val="17"/>
        </w:rPr>
        <w:t xml:space="preserve">Zitiervorschlag: § 38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