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NotAktVV — Sondersammlung</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Wenn die Übertragung in ein elektronisches Dokument aufgrund der Beschaffenheit des Dokuments unmöglich oder unzumutbar ist, unterbleibt die Einstellung in die elektronische Urkundensammlung. Die Übertragung von Dokumenten, die nicht größer als das Format DIN A3 sind, ist nicht allein wegen ihrer Größe unzumutbar.</w:t>
      </w:r>
    </w:p>
    <w:p>
      <w:r>
        <w:t xml:space="preserve">(2) In den Fällen des Absatzes 1 Satz 1 soll der Notar in einem elektronischen Vermerk nach § 39a des Beurkundungsgesetzes das Dokument bezeichnen und feststellen, dass die Übertragung in ein elektronisches Dokument unmöglich oder unzumutbar ist. Der Vermerk soll mit einer elektronisch beglaubigten Abschrift des Dokuments verbunden werden, wenn deren Herstellung nicht unmöglich oder unzumutbar ist. Der Vermerk und gegebenenfalls die elektronische Abschrift sollen in der elektronischen Urkundensammlung verwahrt werden.</w:t>
      </w:r>
    </w:p>
    <w:p>
      <w:r>
        <w:t xml:space="preserve">(3) Dokumente, deren Übertragung in ein elektronisches Dokument unterblieben ist, sind nach der Reihenfolge ihrer Eintragung im Urkundenverzeichnis in einer gesonderten Sammlung zu verwahren (Sondersammlung). Auf den Dokumenten ist zu vermerken, zu welcher Urkundenverzeichnisnummer sie gehören. Eine vollständige oder auszugsweise Abschrift der Dokumente kann in die Urkundensammlung aufgenommen werden. Auf der Abschrift ist zu vermerken, dass es sich um die Abschrift eines Dokuments aus der Sondersammlung handelt.</w:t>
      </w:r>
    </w:p>
    <w:p>
      <w:r>
        <w:rPr>
          <w:color w:val="555555"/>
          <w:sz w:val="17"/>
        </w:rPr>
        <w:t xml:space="preserve">Zitiervorschlag: § 37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