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NotAktVV — Einstellung von Dokumenten</w:t>
      </w:r>
    </w:p>
    <w:p>
      <w:r>
        <w:rPr>
          <w:color w:val="555555"/>
          <w:sz w:val="18"/>
        </w:rPr>
        <w:t xml:space="preserve">Verordnung über die Führung notarieller Akten und Verzeichnisse</w:t>
      </w:r>
    </w:p>
    <w:p>
      <w:r>
        <w:rPr>
          <w:color w:val="555555"/>
          <w:sz w:val="18"/>
        </w:rPr>
        <w:t xml:space="preserve">Stand: 01.08.2022 (konsolidierte Textfassung, kein amtliches Inkrafttretensdatum)</w:t>
      </w:r>
    </w:p>
    <w:p>
      <w:r>
        <w:t xml:space="preserve">(1) Dokumente, die nach § 34 in der elektronischen Urkundensammlung zu verwahren sind, sollen unverzüglich nach der Eintragung in das Urkundenverzeichnis in die elektronische Urkundensammlung eingestellt werden.</w:t>
      </w:r>
    </w:p>
    <w:p>
      <w:r>
        <w:t xml:space="preserve">(2) Elektronische Dokumente, die nach dem Beurkundungsgesetz zusammen mit der elektronischen Fassung einer Urschrift oder Abschrift oder einer elektronischen Urschrift in der elektronischen Urkundensammlung zu verwahren sind, sollen unverzüglich in die elektronische Urkundensammlung eingestellt werden.</w:t>
      </w:r>
    </w:p>
    <w:p>
      <w:r>
        <w:t xml:space="preserve">(3) Nachdem ein Dokument in elektronischer Form in die elektronische Urkundensammlung eingestellt wurde, dürfen auf der Urschrift oder Abschrift, die in der Urkundensammlung verwahrt wird, keine Vermerke mehr angebracht werden. Ergibt sich aus einer Rechtsvorschrift die Pflicht, auf der Urschrift oder Abschrift, die in der Urkundensammlung verwahrt wird, etwas zu vermerken, so ist der Vermerk</w:t>
      </w:r>
    </w:p>
    <w:p>
      <w:pPr>
        <w:ind w:left="420"/>
      </w:pPr>
      <w:r>
        <w:t xml:space="preserve">1. auf einem gesonderten Blatt niederzulegen, welches mit der in der Urkundensammlung verwahrten Urschrift oder Abschrift zu verbinden ist, wenn die betreffende Urkunde in Papierform errichtet wurde, oder</w:t>
      </w:r>
    </w:p>
    <w:p>
      <w:pPr>
        <w:ind w:left="420"/>
      </w:pPr>
      <w:r>
        <w:t xml:space="preserve">2. in einem gesonderten elektronischen Dokument niederzulegen, welches zusammen mit der in der elektronischen Urkundensammlung verwahrten Urkunde zu verwahren ist, wenn die betreffende Urkunde in elektronischer Form errichtet wurde.</w:t>
      </w:r>
    </w:p>
    <w:p>
      <w:r>
        <w:t xml:space="preserve">Von einem elektronischen Vermerk, der zusammen mit einer elektronischen Urkunde in der elektronischen Urkundensammlung verwahrt wird, ist ein Ausdruck mit dem in der Urkundensammlung verwahrten Ausdruck der elektronischen Urkunde zu verbinden.</w:t>
      </w:r>
    </w:p>
    <w:p>
      <w:r>
        <w:t xml:space="preserve">(4) Die Einstellung von Dokumenten in die elektronische Urkundensammlung hat in einer für die Langzeitarchivierung geeigneten Variante des PDF-Formats zu erfolgen. Hat die Bundesnotarkammer in ihrem Verkündungsblatt weitere Vorgaben zu dem Dateiformat, das bei der Einstellung in die elektronische Urkundensammlung zu verwenden ist, bekannt gemacht, so sind diese zu beachten.</w:t>
      </w:r>
    </w:p>
    <w:p>
      <w:r>
        <w:rPr>
          <w:color w:val="555555"/>
          <w:sz w:val="17"/>
        </w:rPr>
        <w:t xml:space="preserve">Zitiervorschlag: § 35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