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NotAktVV — Sonderbestimmungen für Verfügungen von Todes wegen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Wird ein Erbvertrag aus der notariellen Verwahrung zurückgegeben, so ist anstelle des Erbvertrags ein Vermerk mit den Angaben nach § 9 Nummer 1 bis 3 und der Urkundenverzeichnisnummer zur Erbvertragssammlung zu nehmen.</w:t>
      </w:r>
    </w:p>
    <w:p>
      <w:r>
        <w:t xml:space="preserve">(2) Wird über die Rückgabe des Erbvertrags keine Niederschrift errichtet, soll der Notar in dem Vermerk die Erfüllung der ihm nach § 2300 Absatz 2 Satz 3 in Verbindung mit § 2256 Absatz 1 Satz 2 des Bürgerlichen Gesetzbuchs obliegenden Pflichten aktenkundig machen. Die Personen, an die der Erbvertrag zurückgegeben wurde, sind mit den in § 12 Absatz 2 Satz 1 und 2 genannten Angaben zu bezeichnen.</w:t>
      </w:r>
    </w:p>
    <w:p>
      <w:r>
        <w:t xml:space="preserve">(3) Der Notar hat den Vermerk zu unterschreiben.</w:t>
      </w:r>
    </w:p>
    <w:p>
      <w:r>
        <w:t xml:space="preserve">(4) Auf Antrag aller Beteiligten ist diesen die in der Urkundensammlung verwahrte beglaubigte Abschrift einer Verfügung von Todes wegen auszuhändigen.</w:t>
      </w:r>
    </w:p>
    <w:p>
      <w:r>
        <w:t xml:space="preserve">(5) Wird bei einer Verfügung von Todes wegen vor deren Registrierung im Zentralen Testamentsregister die Aushändigung der Urschrift zum Zwecke des Widerrufs durch Vernichtung verlangt, so sind die Absätze 1 bis 3 mit der Maßgabe entsprechend anzuwenden, dass der Vermerk zur Urkundensammlung zu nehmen ist.</w:t>
      </w:r>
    </w:p>
    <w:p>
      <w:r>
        <w:rPr>
          <w:color w:val="555555"/>
          <w:sz w:val="17"/>
        </w:rPr>
        <w:t xml:space="preserve">Zitiervorschlag: § 33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