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NotAktVV — Urkundensammlung</w:t>
      </w:r>
    </w:p>
    <w:p>
      <w:r>
        <w:rPr>
          <w:color w:val="555555"/>
          <w:sz w:val="18"/>
        </w:rPr>
        <w:t xml:space="preserve">Verordnung über die Führung notarieller Akten und Verzeichnisse</w:t>
      </w:r>
    </w:p>
    <w:p>
      <w:r>
        <w:rPr>
          <w:color w:val="555555"/>
          <w:sz w:val="18"/>
        </w:rPr>
        <w:t xml:space="preserve">Stand: 31.12.2025 (konsolidierte Textfassung, kein amtliches Inkrafttretensdatum)</w:t>
      </w:r>
    </w:p>
    <w:p>
      <w:r>
        <w:t xml:space="preserve">(1) In der Urkundensammlung sind zu verwahren</w:t>
      </w:r>
    </w:p>
    <w:p>
      <w:pPr>
        <w:ind w:left="420"/>
      </w:pPr>
      <w:r>
        <w:t xml:space="preserve">1. bei Niederschriften über eine Verfügung von Todes wegen</w:t>
      </w:r>
    </w:p>
    <w:p>
      <w:pPr>
        <w:ind w:left="780"/>
      </w:pPr>
      <w:r>
        <w:t xml:space="preserve">a) eine beglaubigte Abschrift, wenn die Beteiligten dies wünschen, und</w:t>
      </w:r>
    </w:p>
    <w:p>
      <w:pPr>
        <w:ind w:left="780"/>
      </w:pPr>
      <w:r>
        <w:t xml:space="preserve">b) ein Ausdruck der Bestätigung oder der Bestätigungen über die Registrierung im Zentralen Testamentsregister,</w:t>
      </w:r>
    </w:p>
    <w:p>
      <w:pPr>
        <w:ind w:left="420"/>
      </w:pPr>
      <w:r>
        <w:t xml:space="preserve">2. bei sonstigen Niederschriften, die in das Urkundenverzeichnis einzutragen sind, die Urschrift,</w:t>
      </w:r>
    </w:p>
    <w:p>
      <w:pPr>
        <w:ind w:left="420"/>
      </w:pPr>
      <w:r>
        <w:t xml:space="preserve">3. bei elektronischen Niederschriften ein beglaubigter Ausdruck des elektronischen Dokuments,</w:t>
      </w:r>
    </w:p>
    <w:p>
      <w:pPr>
        <w:ind w:left="420"/>
      </w:pPr>
      <w:r>
        <w:t xml:space="preserve">4. bei Vermerken im Sinne des § 39 des Beurkundungsgesetzes, die in das Urkundenverzeichnis einzutragen sind,</w:t>
      </w:r>
    </w:p>
    <w:p>
      <w:pPr>
        <w:ind w:left="780"/>
      </w:pPr>
      <w:r>
        <w:t xml:space="preserve">a) die Urschrift, wenn diese in notarieller Verwahrung verbleibt,</w:t>
      </w:r>
    </w:p>
    <w:p>
      <w:pPr>
        <w:ind w:left="780"/>
      </w:pPr>
      <w:r>
        <w:t xml:space="preserve">b) eine Abschrift, wenn die Urschrift ausgehändigt wird und der Notar die Urkunde entworfen hat,</w:t>
      </w:r>
    </w:p>
    <w:p>
      <w:pPr>
        <w:ind w:left="780"/>
      </w:pPr>
      <w:r>
        <w:t xml:space="preserve">c) in den übrigen Fällen nach Ermessen des Notars eine Abschrift,</w:t>
      </w:r>
    </w:p>
    <w:p>
      <w:pPr>
        <w:ind w:left="420"/>
      </w:pPr>
      <w:r>
        <w:t xml:space="preserve">5. bei einfachen elektronischen Zeugnissen im Sinne des § 39a des Beurkundungsgesetzes, die in das Urkundenverzeichnis einzutragen sind,</w:t>
      </w:r>
    </w:p>
    <w:p>
      <w:pPr>
        <w:ind w:left="780"/>
      </w:pPr>
      <w:r>
        <w:t xml:space="preserve">a) ein beglaubigter Ausdruck des elektronischen Dokuments, wenn dieses in notarieller Verwahrung verbleibt,</w:t>
      </w:r>
    </w:p>
    <w:p>
      <w:pPr>
        <w:ind w:left="780"/>
      </w:pPr>
      <w:r>
        <w:t xml:space="preserve">b) ein Ausdruck des elektronischen Dokuments, wenn dieses ausgehändigt wird und der Notar die Urkunde entworfen hat,</w:t>
      </w:r>
    </w:p>
    <w:p>
      <w:pPr>
        <w:ind w:left="780"/>
      </w:pPr>
      <w:r>
        <w:t xml:space="preserve">c) in den übrigen Fällen nach Ermessen des Notars ein Ausdruck des elektronischen Dokuments,</w:t>
      </w:r>
    </w:p>
    <w:p>
      <w:pPr>
        <w:ind w:left="420"/>
      </w:pPr>
      <w:r>
        <w:t xml:space="preserve">6. bei Vollstreckbarerklärungen nach § 796c Absatz 1 der Zivilprozessordnung die Urschrift mit der Urschrift des Vergleichs,</w:t>
      </w:r>
    </w:p>
    <w:p>
      <w:pPr>
        <w:ind w:left="420"/>
      </w:pPr>
      <w:r>
        <w:t xml:space="preserve">7. bei Vollstreckbarerklärungen nach § 1053 Absatz 4 der Zivilprozessordnung die Urschrift mit einer beglaubigten Abschrift des Schiedsspruchs,</w:t>
      </w:r>
    </w:p>
    <w:p>
      <w:pPr>
        <w:ind w:left="420"/>
      </w:pPr>
      <w:r>
        <w:t xml:space="preserve">8. bei Einigungen, Abschlussprotokollen, Vertragsbeurkundungen und Vertragsbestätigungen nach § 96 Absatz 3 Satz 1 und Absatz 5 Satz 2, § 98 Absatz 2 Satz 1 und § 99 Satz 1 des Sachenrechtsbereinigungsgesetzes die Urschrift.</w:t>
      </w:r>
    </w:p>
    <w:p>
      <w:r>
        <w:t xml:space="preserve">(2) Die Urkundensammlung ist nach der Reihenfolge der Eintragungen im Urkundenverzeichnis zu ordnen.</w:t>
      </w:r>
    </w:p>
    <w:p>
      <w:r>
        <w:t xml:space="preserve">(3) Nachweise für die Vertretungsberechtigung, die nach § 12 Absatz 1 Satz 1 des Beurkundungsgesetzes der Niederschrift beigefügt werden sollen, werden der Urschrift beigefügt und mit ihr in der Urkundensammlung verwahrt. Nachweise, die nach § 12 Absatz 1 Satz 2 des Beurkundungsgesetzes der elektronischen Niederschrift beigefügt werden sollen, werden dem in der Urkundensammlung verwahrten beglaubigten Ausdruck der elektronischen Niederschrift in Urschrift oder in beglaubigter Abschrift beigefügt und mit ihm in der Urkundensammlung verwahrt.</w:t>
      </w:r>
    </w:p>
    <w:p>
      <w:r>
        <w:t xml:space="preserve">(4) Einem in der Urkundensammlung verwahrten Dokument können andere Urschriften oder Unterlagen beigefügt und mit ihm verwahrt werden, wenn</w:t>
      </w:r>
    </w:p>
    <w:p>
      <w:pPr>
        <w:ind w:left="420"/>
      </w:pPr>
      <w:r>
        <w:t xml:space="preserve">1. diese mit dem verwahrten Dokument inhaltlich derart zusammenhängen, dass das verwahrte Dokument ohne die anderen Urschriften oder Unterlagen nicht in zweckdienlicher Weise verwendet werden kann, oder</w:t>
      </w:r>
    </w:p>
    <w:p>
      <w:pPr>
        <w:ind w:left="420"/>
      </w:pPr>
      <w:r>
        <w:t xml:space="preserve">2. sie für die Rechtswirksamkeit oder die Durchführung des beurkundeten Rechtsvorgangs bedeutsam sind.</w:t>
      </w:r>
    </w:p>
    <w:p>
      <w:r>
        <w:t xml:space="preserve">(5) Anstelle der Urschrift ist eine Ausfertigung oder eine beglaubigte Abschrift in der Urkundensammlung zu verwahren, wenn nach dem Beurkundungsgesetz die Ausfertigung oder die beglaubigte Abschrift an die Stelle der Urschrift tritt. Anstelle eines beglaubigten Ausdrucks der elektronischen Urschrift ist eine Ausfertigung oder eine beglaubigte Abschrift in der Urkundensammlung zu verwahren, wenn nach dem Beurkundungsgesetz die elektronische Fassung einer Ausfertigung oder einer beglaubigten Abschrift an die Stelle der elektronischen Urschrift tritt und die Verwahrung eines beglaubigten Ausdrucks der elektronischen Urschrift nicht möglich ist.</w:t>
      </w:r>
    </w:p>
    <w:p>
      <w:r>
        <w:rPr>
          <w:color w:val="555555"/>
          <w:sz w:val="17"/>
        </w:rPr>
        <w:t xml:space="preserve">Zitiervorschlag: § 31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