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NotAktVV — Urschriften, Ausfertigungen, Abschriften und elektronische Urkunden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(1) Urschriften, Ausfertigungen und beglaubigte Abschriften von Urkunden sind so herzustellen, dass sie gut lesbar, dauerhaft und fälschungssicher sind. Satz 1 gilt für die Erstellung elektronischer Urkunden entsprechend.</w:t>
      </w:r>
    </w:p>
    <w:p>
      <w:r>
        <w:t xml:space="preserve">(2) Im Schriftbild der Urschrift einer Urkunde darf nichts unleserlich gemacht werden.</w:t>
      </w:r>
    </w:p>
    <w:p>
      <w:r>
        <w:t xml:space="preserve">(3) Auf jeder Urschrift, Ausfertigung oder Abschrift einer Urkunde sind die Urkundenverzeichnisnummer und die Jahreszahl anzugeben. Satz 1 gilt für das nach § 39a des Beurkundungsgesetzes erstellte elektronische Dokument entsprechend. Auf einem nach § 8 Absatz 2, § 16b oder § 36 Absatz 2 des Beurkundungsgesetzes erstellten elektronischen Dokument müssen die Urkundenverzeichnisnummer und die Jahreszahl nicht angegeben werden.</w:t>
      </w:r>
    </w:p>
    <w:p>
      <w:r>
        <w:rPr>
          <w:color w:val="555555"/>
          <w:sz w:val="17"/>
        </w:rPr>
        <w:t xml:space="preserve">Zitiervorschlag: § 3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