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NotAktVV — Angaben zu Schecks und Sparbüchern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Werden Schecks oder Sparbücher als Zahlungsmittel entgegengenommen, so werden sie hierbei als Einnahme eingetragen. Dabei sind der Nennbetrag sowie die Nummer des Schecks und die Bezeichnung des Kreditinstituts oder die Bezeichnung des Sparbuchs und dessen Nummer anzugeben.</w:t>
      </w:r>
    </w:p>
    <w:p>
      <w:r>
        <w:t xml:space="preserve">(2) Ein Scheck oder ein Sparbuch ist als Ausgabe einzutragen, wenn die Einlösung erfolgt ist. Dabei ist auf die entsprechende Eintragung der Einnahme auf dem Notaranderkonto zu verweisen.</w:t>
      </w:r>
    </w:p>
    <w:p>
      <w:r>
        <w:t xml:space="preserve">(3) Stellt sich ein Scheck als ungedeckt heraus, ist er als Ausgabe einzutragen.</w:t>
      </w:r>
    </w:p>
    <w:p>
      <w:r>
        <w:t xml:space="preserve">(4) Ein zur Auszahlung ausgestellter Scheck ist als Ausgabe einzutragen, wenn er zur Auszahlung weitergegeben worden ist. Absatz 1 Satz 2 gilt hierbei entsprechend. Wird der Scheck zulasten des Notaranderkontos eingelöst, ist er als Einnahme einzutragen. Dabei ist auf die entsprechende Eintragung der Ausgabe auf dem Notaranderkonto zu verweisen.</w:t>
      </w:r>
    </w:p>
    <w:p>
      <w:r>
        <w:rPr>
          <w:color w:val="555555"/>
          <w:sz w:val="17"/>
        </w:rPr>
        <w:t xml:space="preserve">Zitiervorschlag: § 27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