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NotAktVV — Angaben zu Wertpapieren und Kostbarkeiten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Wertpapiere sind unter Angabe der Gattung, des Nennbetrages, der Stückzahl, der Serien und der Nummern einzutragen. Zins-, Renten- und Gewinnanteilscheine oder Erneuerungsscheine sind durch Angabe der Fälligkeitstermine oder der Nummern näher zu bezeichnen.</w:t>
      </w:r>
    </w:p>
    <w:p>
      <w:r>
        <w:t xml:space="preserve">(2) Kostbarkeiten sind aussagekräftig zu bezeichnen und mit einem Schätzwert einzutragen.</w:t>
      </w:r>
    </w:p>
    <w:p>
      <w:r>
        <w:rPr>
          <w:color w:val="555555"/>
          <w:sz w:val="17"/>
        </w:rPr>
        <w:t xml:space="preserve">Zitiervorschlag: § 26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