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NotAktVV — Angaben im Verwahrungsverzeichnis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Jede Eintragung einer Verwahrungsmasse enthält folgende Angaben:</w:t>
      </w:r>
    </w:p>
    <w:p>
      <w:pPr>
        <w:ind w:left="420"/>
      </w:pPr>
      <w:r>
        <w:t xml:space="preserve">1. die Massenummer,</w:t>
      </w:r>
    </w:p>
    <w:p>
      <w:pPr>
        <w:ind w:left="420"/>
      </w:pPr>
      <w:r>
        <w:t xml:space="preserve">2. wenn die Verwahrung im Zusammenhang mit einem Geschäft steht, das im Urkundenverzeichnis eingetragen ist, die Urkundenverzeichnisnummer; andernfalls ein sonstiges eindeutiges Zeichen,</w:t>
      </w:r>
    </w:p>
    <w:p>
      <w:pPr>
        <w:ind w:left="420"/>
      </w:pPr>
      <w:r>
        <w:t xml:space="preserve">3. die Beteiligten des Verwahrungsverhältnisses (§ 24),</w:t>
      </w:r>
    </w:p>
    <w:p>
      <w:pPr>
        <w:ind w:left="420"/>
      </w:pPr>
      <w:r>
        <w:t xml:space="preserve">4. das Datum des Tages, an dem der Notar die Verwahrungsanweisung angenommen hat,</w:t>
      </w:r>
    </w:p>
    <w:p>
      <w:pPr>
        <w:ind w:left="420"/>
      </w:pPr>
      <w:r>
        <w:t xml:space="preserve">5. die Einnahmen und die Ausgaben (§ 25) und</w:t>
      </w:r>
    </w:p>
    <w:p>
      <w:pPr>
        <w:ind w:left="420"/>
      </w:pPr>
      <w:r>
        <w:t xml:space="preserve">6. den Abschluss des Verwahrungsgeschäfts.</w:t>
      </w:r>
    </w:p>
    <w:p>
      <w:r>
        <w:rPr>
          <w:color w:val="555555"/>
          <w:sz w:val="17"/>
        </w:rPr>
        <w:t xml:space="preserve">Zitiervorschlag: § 22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