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NotAktVV — Verwahrungsverzeichnis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Verwahrungsmassen, die nach § 23 der Bundesnotarordnung und nach den §§ 57 und 62 des Beurkundungsgesetzes entgegengenommen werden, sind in das Verwahrungsverzeichnis einzutragen, sobald dem Notar Werte zugeflossen sind. Nicht eingetragen werden müssen</w:t>
      </w:r>
    </w:p>
    <w:p>
      <w:pPr>
        <w:ind w:left="420"/>
      </w:pPr>
      <w:r>
        <w:t xml:space="preserve">1. Geldbeträge, die der Notar als Protestbeamter empfangen hat, wenn sie unverzüglich an die Berechtigten herausgegeben werden,</w:t>
      </w:r>
    </w:p>
    <w:p>
      <w:pPr>
        <w:ind w:left="420"/>
      </w:pPr>
      <w:r>
        <w:t xml:space="preserve">2. Wechsel und Schecks, die zum Zweck der Erhebung des Protestes übergeben wurden, und</w:t>
      </w:r>
    </w:p>
    <w:p>
      <w:pPr>
        <w:ind w:left="420"/>
      </w:pPr>
      <w:r>
        <w:t xml:space="preserve">3. Hypotheken-, Grundschuld- und Rentenschuldbriefe.</w:t>
      </w:r>
    </w:p>
    <w:p>
      <w:r>
        <w:rPr>
          <w:color w:val="555555"/>
          <w:sz w:val="17"/>
        </w:rPr>
        <w:t xml:space="preserve">Zitiervorschlag: § 21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