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NotAktVV — Akten</w:t>
      </w:r>
    </w:p>
    <w:p>
      <w:r>
        <w:rPr>
          <w:color w:val="555555"/>
          <w:sz w:val="18"/>
        </w:rPr>
        <w:t xml:space="preserve">Verordnung über die Führung notarieller Akten und Verzeichnisse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Der Notar führt die folgenden Akten:</w:t>
      </w:r>
    </w:p>
    <w:p>
      <w:pPr>
        <w:ind w:left="420"/>
      </w:pPr>
      <w:r>
        <w:t xml:space="preserve">1. die Urkundensammlung,</w:t>
      </w:r>
    </w:p>
    <w:p>
      <w:pPr>
        <w:ind w:left="420"/>
      </w:pPr>
      <w:r>
        <w:t xml:space="preserve">2. die Erbvertragssammlung,</w:t>
      </w:r>
    </w:p>
    <w:p>
      <w:pPr>
        <w:ind w:left="420"/>
      </w:pPr>
      <w:r>
        <w:t xml:space="preserve">3. die elektronische Urkundensammlung,</w:t>
      </w:r>
    </w:p>
    <w:p>
      <w:pPr>
        <w:ind w:left="420"/>
      </w:pPr>
      <w:r>
        <w:t xml:space="preserve">4. die Sondersammlung,</w:t>
      </w:r>
    </w:p>
    <w:p>
      <w:pPr>
        <w:ind w:left="420"/>
      </w:pPr>
      <w:r>
        <w:t xml:space="preserve">5. die Nebenakten,</w:t>
      </w:r>
    </w:p>
    <w:p>
      <w:pPr>
        <w:ind w:left="420"/>
      </w:pPr>
      <w:r>
        <w:t xml:space="preserve">6. die Sammelakte für Wechsel- und Scheckproteste und</w:t>
      </w:r>
    </w:p>
    <w:p>
      <w:pPr>
        <w:ind w:left="420"/>
      </w:pPr>
      <w:r>
        <w:t xml:space="preserve">7. die Generalakte.</w:t>
      </w:r>
    </w:p>
    <w:p>
      <w:r>
        <w:rPr>
          <w:color w:val="555555"/>
          <w:sz w:val="17"/>
        </w:rPr>
        <w:t xml:space="preserve">Zitiervorschlag: § 2 NotAktVV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https://recht.nulegal.eu/gesetze/NotAktVV/2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