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19 NotAktVV — Export der Eintragungen</w:t>
      </w:r>
    </w:p>
    <w:p>
      <w:r>
        <w:rPr>
          <w:color w:val="555555"/>
          <w:sz w:val="18"/>
        </w:rPr>
        <w:t xml:space="preserve">Verordnung über die Führung notarieller Akten und Verzeichnisse</w:t>
      </w:r>
    </w:p>
    <w:p>
      <w:r>
        <w:rPr>
          <w:color w:val="555555"/>
          <w:sz w:val="18"/>
        </w:rPr>
        <w:t xml:space="preserve">Stand: 01.01.2022 (konsolidierte Textfassung, kein amtliches Inkrafttretensdatum)</w:t>
      </w:r>
    </w:p>
    <w:p>
      <w:r>
        <w:t xml:space="preserve">(1) Nach Abschluss jedes Kalenderjahres sind die Eintragungen, die für dieses Kalenderjahr im Urkundenverzeichnis vorgenommen wurden, zeitnah in eine Datei zu exportieren. Die Datei ist mit der qualifizierten elektronischen Signatur des Notars zu versehen.</w:t>
      </w:r>
    </w:p>
    <w:p>
      <w:r>
        <w:t xml:space="preserve">(2) Die in die Datei exportierten Eintragungen sind bis zum Ablauf ihrer jeweiligen Aufbewahrungsfristen zu speichern. Die Speicherung hat im Elektronischen Urkundenarchiv zu erfolgen, wenn die Bundesnotarkammer eine besondere Funktion dafür vorsieht.</w:t>
      </w:r>
    </w:p>
    <w:p>
      <w:r>
        <w:t xml:space="preserve">(3) Werden an den Eintragungen im Urkundenverzeichnis Änderungen vorgenommen, so dass diese nicht mehr mit den in die Datei exportierten Eintragungen übereinstimmen, sind die Eintragungen erneut zu exportieren. Die Absätze 1 und 2 gelten insoweit entsprechend. Die Datei mit den früher exportierten Eintragungen bleibt gespeichert. Es genügt, wenn der erneute Export nur die Eintragungen umfasst, an denen die Änderungen vorgenommen wurden.</w:t>
      </w:r>
    </w:p>
    <w:p>
      <w:r>
        <w:rPr>
          <w:color w:val="555555"/>
          <w:sz w:val="17"/>
        </w:rPr>
        <w:t xml:space="preserve">Zitiervorschlag: § 19 NotAktVV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https://recht.nulegal.eu/gesetze/NotAktVV/19</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