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NotAktVV — Sonstige Angaben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Wird durch eine Urkunde der Inhalt einer anderen Urkunde berichtigt, geändert, ergänzt oder aufgehoben, so ist bei den Eintragungen zu diesen Urkunden auf die jeweils andere Eintragung zu verweisen.</w:t>
      </w:r>
    </w:p>
    <w:p>
      <w:r>
        <w:t xml:space="preserve">(2) Zu jeder Eintragung können weitere Angaben aufgenommen werden, soweit diese der Erfüllung der Amtspflichten dienen. Solche Angaben sind strukturiert zu erfassen, soweit die Bundesnotarkammer dies vorsieht.</w:t>
      </w:r>
    </w:p>
    <w:p>
      <w:r>
        <w:rPr>
          <w:color w:val="555555"/>
          <w:sz w:val="17"/>
        </w:rPr>
        <w:t xml:space="preserve">Zitiervorschlag: § 17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